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50" w:rsidRDefault="00437D26">
      <w:pPr>
        <w:keepNext/>
        <w:spacing w:before="240" w:after="120" w:line="100" w:lineRule="atLeast"/>
        <w:jc w:val="center"/>
        <w:rPr>
          <w:rFonts w:ascii="Times New Roman" w:hAnsi="Times New Roman" w:cs="Times New Roman"/>
          <w:b/>
          <w:sz w:val="24"/>
          <w:u w:val="single"/>
        </w:rPr>
      </w:pPr>
      <w:r>
        <w:rPr>
          <w:rFonts w:ascii="Times New Roman" w:hAnsi="Times New Roman" w:cs="Times New Roman"/>
          <w:b/>
          <w:sz w:val="24"/>
          <w:u w:val="single"/>
        </w:rPr>
        <w:t>ÖSSZEFOGLALÓ</w:t>
      </w:r>
      <w:r>
        <w:rPr>
          <w:rFonts w:ascii="Times New Roman" w:hAnsi="Times New Roman" w:cs="Times New Roman"/>
          <w:b/>
          <w:sz w:val="20"/>
          <w:u w:val="single"/>
        </w:rPr>
        <w:t xml:space="preserve"> </w:t>
      </w:r>
      <w:r>
        <w:rPr>
          <w:rFonts w:ascii="Times New Roman" w:hAnsi="Times New Roman" w:cs="Times New Roman"/>
          <w:b/>
          <w:sz w:val="24"/>
          <w:u w:val="single"/>
        </w:rPr>
        <w:t>DOKUMENTUM A NEMZETI KOCKÁZATELEMZÉSRŐL</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A pénzmosás és terrorizmus finanszírozása elleni intézményrendszer célja, hogy hatékonyan megelőzze, megakadályozza a bűncselekmények elkövetéséből származó vagyonok tisztára mosását, és fellépjen a terrorizmus támogatása ellen. A bűnözők által a bűnözésbő</w:t>
      </w:r>
      <w:r>
        <w:rPr>
          <w:rFonts w:ascii="Times New Roman" w:hAnsi="Times New Roman" w:cs="Times New Roman"/>
          <w:sz w:val="24"/>
        </w:rPr>
        <w:t>l származó bevételek eredetének leplezése, valamint a jogszerűen, illetve a jogellenesen szerzett pénzeknek terrorista célokra való átirányítása veszélyezteti a pénzügyi rendszer iránti bizalmat, a rendszer stabilitását.</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Magyarország elkötelezett a p</w:t>
      </w:r>
      <w:r>
        <w:rPr>
          <w:rFonts w:ascii="Times New Roman" w:hAnsi="Times New Roman" w:cs="Times New Roman"/>
          <w:sz w:val="24"/>
        </w:rPr>
        <w:t>énzmosás és a terrorizmus finanszírozása elleni küzdelem mellett. A hazai intézményrendszerben a nemzetgazdasági miniszter feladata a pénzmosás és a terrorizmus finanszírozás megelőzésével és megakadályozásával kapcsolatos hazai és nemzetközi szakmai tevék</w:t>
      </w:r>
      <w:r>
        <w:rPr>
          <w:rFonts w:ascii="Times New Roman" w:hAnsi="Times New Roman" w:cs="Times New Roman"/>
          <w:sz w:val="24"/>
        </w:rPr>
        <w:t xml:space="preserve">enység irányítása és koordinációja. </w:t>
      </w:r>
    </w:p>
    <w:p w:rsidR="00035150" w:rsidRDefault="00437D26">
      <w:pPr>
        <w:spacing w:before="120" w:after="0" w:line="100" w:lineRule="atLeast"/>
        <w:jc w:val="both"/>
        <w:rPr>
          <w:rFonts w:ascii="Times New Roman" w:hAnsi="Times New Roman"/>
          <w:sz w:val="24"/>
          <w:szCs w:val="24"/>
        </w:rPr>
      </w:pPr>
      <w:r>
        <w:rPr>
          <w:rFonts w:ascii="Times New Roman" w:hAnsi="Times New Roman"/>
          <w:sz w:val="24"/>
          <w:szCs w:val="24"/>
        </w:rPr>
        <w:t>A Nemzetgazdasági Minisztérium (a továbbiakban: NGM) szakmai koordinációja mellett elkészült a Nemzeti Kockázatelemzés, amelynek célja a pénzmosás, egyes vagyont generáló bűncselekmények, illetve a terrorizmus finanszír</w:t>
      </w:r>
      <w:r>
        <w:rPr>
          <w:rFonts w:ascii="Times New Roman" w:hAnsi="Times New Roman"/>
          <w:sz w:val="24"/>
          <w:szCs w:val="24"/>
        </w:rPr>
        <w:t>ozás kockázatainak azonosítása, feltárása</w:t>
      </w:r>
      <w:r>
        <w:rPr>
          <w:rFonts w:ascii="Times New Roman" w:hAnsi="Times New Roman"/>
          <w:sz w:val="24"/>
          <w:szCs w:val="24"/>
        </w:rPr>
        <w:t xml:space="preserve">, </w:t>
      </w:r>
      <w:r>
        <w:rPr>
          <w:rFonts w:ascii="Times New Roman" w:hAnsi="Times New Roman"/>
          <w:sz w:val="24"/>
          <w:szCs w:val="24"/>
        </w:rPr>
        <w:t>értékelése és megértése.</w:t>
      </w:r>
    </w:p>
    <w:p w:rsidR="00035150" w:rsidRDefault="00437D26">
      <w:pPr>
        <w:pStyle w:val="Listaszerbekezds"/>
        <w:keepNext/>
        <w:numPr>
          <w:ilvl w:val="0"/>
          <w:numId w:val="6"/>
        </w:numPr>
        <w:pBdr>
          <w:top w:val="nil"/>
          <w:left w:val="nil"/>
          <w:bottom w:val="single" w:sz="12" w:space="0" w:color="00000A"/>
          <w:right w:val="nil"/>
        </w:pBdr>
        <w:spacing w:before="240" w:after="120" w:line="100" w:lineRule="atLeast"/>
        <w:ind w:right="567"/>
        <w:contextualSpacing w:val="0"/>
        <w:jc w:val="center"/>
        <w:rPr>
          <w:rFonts w:ascii="Times New Roman" w:hAnsi="Times New Roman" w:cs="Times New Roman"/>
          <w:b/>
          <w:sz w:val="24"/>
        </w:rPr>
      </w:pPr>
      <w:r>
        <w:rPr>
          <w:rFonts w:ascii="Times New Roman" w:hAnsi="Times New Roman" w:cs="Times New Roman"/>
          <w:b/>
          <w:sz w:val="24"/>
        </w:rPr>
        <w:t>A Nemzeti Kockázatelemzés előkészítésének folyamata</w:t>
      </w:r>
    </w:p>
    <w:p w:rsidR="00035150" w:rsidRDefault="00437D26">
      <w:pPr>
        <w:pStyle w:val="Listaszerbekezds"/>
        <w:keepNext/>
        <w:numPr>
          <w:ilvl w:val="0"/>
          <w:numId w:val="2"/>
        </w:numPr>
        <w:spacing w:before="240" w:after="120" w:line="100" w:lineRule="atLeast"/>
        <w:ind w:left="567" w:hanging="567"/>
        <w:contextualSpacing w:val="0"/>
        <w:rPr>
          <w:rFonts w:ascii="Times New Roman" w:hAnsi="Times New Roman" w:cs="Times New Roman"/>
          <w:b/>
          <w:sz w:val="24"/>
          <w:szCs w:val="24"/>
        </w:rPr>
      </w:pPr>
      <w:r>
        <w:rPr>
          <w:rFonts w:ascii="Times New Roman" w:hAnsi="Times New Roman" w:cs="Times New Roman"/>
          <w:b/>
          <w:sz w:val="24"/>
          <w:szCs w:val="24"/>
        </w:rPr>
        <w:t>A nemzeti kockázatelemzés elkészítésének szükségessége és célja</w:t>
      </w:r>
    </w:p>
    <w:p w:rsidR="00035150" w:rsidRDefault="00437D26" w:rsidP="00437D26">
      <w:pPr>
        <w:spacing w:before="120" w:after="0" w:line="100" w:lineRule="atLeast"/>
        <w:jc w:val="both"/>
        <w:rPr>
          <w:rFonts w:ascii="Times New Roman" w:eastAsia="Calibri"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eastAsia="Calibri" w:hAnsi="Times New Roman" w:cs="Times New Roman"/>
          <w:sz w:val="24"/>
          <w:szCs w:val="24"/>
        </w:rPr>
        <w:t>A Pénzügyi Akciócsoport (FATF</w:t>
      </w:r>
      <w:r>
        <w:rPr>
          <w:rStyle w:val="Lbjegyzet-horgony"/>
          <w:rFonts w:ascii="Times New Roman" w:eastAsia="Calibri" w:hAnsi="Times New Roman" w:cs="Times New Roman"/>
          <w:sz w:val="24"/>
          <w:szCs w:val="24"/>
        </w:rPr>
        <w:footnoteReference w:id="1"/>
      </w:r>
      <w:r>
        <w:rPr>
          <w:rFonts w:ascii="Times New Roman" w:eastAsia="Calibri" w:hAnsi="Times New Roman" w:cs="Times New Roman"/>
          <w:sz w:val="24"/>
          <w:szCs w:val="24"/>
        </w:rPr>
        <w:t>) 2012 februárjában tette közzé az új pénzmosás, valamint terrorizmus finanszírozása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elleni fellépésre vonatkozó nemzetközi sztenderdjeit (ajánlások)</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és az azoknak </w:t>
      </w:r>
      <w:r>
        <w:rPr>
          <w:rFonts w:ascii="Times New Roman" w:eastAsia="Calibri" w:hAnsi="Times New Roman" w:cs="Times New Roman"/>
          <w:sz w:val="24"/>
          <w:szCs w:val="24"/>
        </w:rPr>
        <w:t>való megfelelőség és az egyes országok rendszerei hatékonyságának értékelését szolgál</w:t>
      </w:r>
      <w:r>
        <w:rPr>
          <w:rFonts w:ascii="Times New Roman" w:eastAsia="Calibri" w:hAnsi="Times New Roman" w:cs="Times New Roman"/>
          <w:sz w:val="24"/>
          <w:szCs w:val="24"/>
        </w:rPr>
        <w:t>ó új módszertant</w:t>
      </w:r>
      <w:r>
        <w:rPr>
          <w:rStyle w:val="Lbjegyzet-horgony"/>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Az Európai Unió 2015. június 5-én hirdette ki az FATF új ajánlásain alapuló, a pénzügyi rendszerek pénzmosás vagy terrorizmusfinanszírozás céljára való felhasználásának megelőzéséről szóló 2015/849 irányelvét</w:t>
      </w:r>
      <w:r>
        <w:rPr>
          <w:rStyle w:val="Lbjegyzet-horgony"/>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(4. pénzmosás és terrorizmu</w:t>
      </w:r>
      <w:r>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finanszírozása elleni irányelv). </w:t>
      </w:r>
    </w:p>
    <w:p w:rsidR="00035150" w:rsidRDefault="00437D26">
      <w:pPr>
        <w:spacing w:before="120" w:after="0" w:line="100" w:lineRule="atLeast"/>
        <w:jc w:val="both"/>
        <w:rPr>
          <w:rFonts w:ascii="Times New Roman" w:hAnsi="Times New Roman" w:cs="Times New Roman"/>
          <w:sz w:val="24"/>
          <w:szCs w:val="24"/>
        </w:rPr>
      </w:pPr>
      <w:r>
        <w:rPr>
          <w:rFonts w:ascii="Times New Roman" w:hAnsi="Times New Roman" w:cs="Times New Roman"/>
          <w:sz w:val="24"/>
          <w:szCs w:val="24"/>
        </w:rPr>
        <w:t>E nemzetközi követelmények – amelyek Magyarországra is vonatkoznak – kimondják a nemzeti kockázatelemzés elkészítésének szükségességét. A nemzeti kockázatelemzés célja elsősorban a hazai pénzmosás és terrorizmus finanszír</w:t>
      </w:r>
      <w:r>
        <w:rPr>
          <w:rFonts w:ascii="Times New Roman" w:hAnsi="Times New Roman" w:cs="Times New Roman"/>
          <w:sz w:val="24"/>
          <w:szCs w:val="24"/>
        </w:rPr>
        <w:t>ozás</w:t>
      </w:r>
      <w:r>
        <w:rPr>
          <w:rFonts w:ascii="Times New Roman" w:hAnsi="Times New Roman" w:cs="Times New Roman"/>
          <w:sz w:val="24"/>
          <w:szCs w:val="24"/>
        </w:rPr>
        <w:t>a</w:t>
      </w:r>
      <w:r>
        <w:rPr>
          <w:rFonts w:ascii="Times New Roman" w:hAnsi="Times New Roman" w:cs="Times New Roman"/>
          <w:sz w:val="24"/>
          <w:szCs w:val="24"/>
        </w:rPr>
        <w:t xml:space="preserve"> elleni rezsim (jogszabályok, intézményi háttér) hatékonyságának megerősítése. A nemzeti kockázatelemzéssel a pénzmosás és a terrorizmus finanszírozás kockázatai megismerhetőek, megérthetőek és kezelhetőek. A kockázatelemzés így hozzájárul a pénzmosás </w:t>
      </w:r>
      <w:r>
        <w:rPr>
          <w:rFonts w:ascii="Times New Roman" w:hAnsi="Times New Roman" w:cs="Times New Roman"/>
          <w:sz w:val="24"/>
          <w:szCs w:val="24"/>
        </w:rPr>
        <w:t>és a terrorizmus finanszírozása elleni hazai rezsim megerősítéséhez, a hatékonyság növeléséhez és az erőforrások célirányos felhasználásához.</w:t>
      </w:r>
    </w:p>
    <w:p w:rsidR="00035150" w:rsidRDefault="00437D26" w:rsidP="00437D26">
      <w:pPr>
        <w:spacing w:before="120" w:after="0" w:line="100" w:lineRule="atLeast"/>
        <w:jc w:val="both"/>
        <w:rPr>
          <w:rFonts w:ascii="Times New Roman" w:eastAsia="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i/>
          <w:sz w:val="24"/>
          <w:szCs w:val="24"/>
        </w:rPr>
        <w:t>.</w:t>
      </w:r>
      <w:r>
        <w:rPr>
          <w:rFonts w:ascii="Times New Roman" w:hAnsi="Times New Roman" w:cs="Times New Roman"/>
          <w:sz w:val="24"/>
          <w:szCs w:val="24"/>
        </w:rPr>
        <w:t xml:space="preserve"> A nemzeti kockázatelemzés elkészítésének </w:t>
      </w:r>
      <w:r>
        <w:rPr>
          <w:rFonts w:ascii="Times New Roman" w:eastAsia="Times New Roman" w:hAnsi="Times New Roman" w:cs="Times New Roman"/>
          <w:i/>
          <w:sz w:val="24"/>
          <w:szCs w:val="24"/>
          <w:u w:val="single"/>
        </w:rPr>
        <w:t>célja</w:t>
      </w:r>
      <w:r>
        <w:rPr>
          <w:rFonts w:ascii="Times New Roman" w:eastAsia="Times New Roman" w:hAnsi="Times New Roman" w:cs="Times New Roman"/>
          <w:sz w:val="24"/>
          <w:szCs w:val="24"/>
        </w:rPr>
        <w:t xml:space="preserve"> – a fenyegetések és a sebezhető pontok feltárásával – azon </w:t>
      </w:r>
      <w:r>
        <w:rPr>
          <w:rFonts w:ascii="Times New Roman" w:eastAsia="Times New Roman" w:hAnsi="Times New Roman" w:cs="Times New Roman"/>
          <w:i/>
          <w:iCs/>
          <w:sz w:val="24"/>
          <w:szCs w:val="24"/>
        </w:rPr>
        <w:t>kockázatok</w:t>
      </w:r>
      <w:r>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megismerése</w:t>
      </w:r>
      <w:r>
        <w:rPr>
          <w:rFonts w:ascii="Times New Roman" w:eastAsia="Times New Roman" w:hAnsi="Times New Roman" w:cs="Times New Roman"/>
          <w:sz w:val="24"/>
          <w:szCs w:val="24"/>
        </w:rPr>
        <w:t xml:space="preserve"> , amelyekkel a döntéshozók és politikaformálók, valamint a Pmt.</w:t>
      </w:r>
      <w:r>
        <w:rPr>
          <w:rStyle w:val="Lbjegyzet-horgony"/>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szerinti felügyeletet ellátó hatóságok</w:t>
      </w:r>
      <w:r>
        <w:rPr>
          <w:rFonts w:ascii="Times New Roman" w:eastAsia="Times New Roman" w:hAnsi="Times New Roman" w:cs="Times New Roman"/>
          <w:iCs/>
          <w:sz w:val="24"/>
          <w:szCs w:val="24"/>
        </w:rPr>
        <w:t>, bűnüldöző szervek, és szolgáltatók szembesülnek tevékenységük során</w:t>
      </w:r>
      <w:r>
        <w:rPr>
          <w:rFonts w:ascii="Times New Roman" w:eastAsia="Times New Roman" w:hAnsi="Times New Roman" w:cs="Times New Roman"/>
          <w:sz w:val="24"/>
          <w:szCs w:val="24"/>
        </w:rPr>
        <w:t>.</w:t>
      </w:r>
    </w:p>
    <w:p w:rsidR="00035150" w:rsidRDefault="00437D26">
      <w:pPr>
        <w:keepNext/>
        <w:spacing w:before="120"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A nemzeti kockázatelemzés </w:t>
      </w:r>
      <w:r>
        <w:rPr>
          <w:rFonts w:ascii="Times New Roman" w:hAnsi="Times New Roman" w:cs="Times New Roman"/>
          <w:i/>
          <w:sz w:val="24"/>
          <w:szCs w:val="24"/>
          <w:u w:val="single"/>
        </w:rPr>
        <w:t>elősegíti</w:t>
      </w:r>
      <w:r>
        <w:rPr>
          <w:rFonts w:ascii="Times New Roman" w:hAnsi="Times New Roman" w:cs="Times New Roman"/>
          <w:sz w:val="24"/>
          <w:szCs w:val="24"/>
        </w:rPr>
        <w:t>:</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az érintett hatóságok </w:t>
      </w:r>
      <w:r>
        <w:rPr>
          <w:rFonts w:ascii="Times New Roman" w:hAnsi="Times New Roman" w:cs="Times New Roman"/>
          <w:sz w:val="24"/>
          <w:szCs w:val="24"/>
        </w:rPr>
        <w:t>erőforrásainak hatékony beosztását, pozícionálását, prioritások felállítását;</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kockázatérzékenységi alapon történő felügyeleti eljárások hatékonyságának növelését és/vagy kialakítását;</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pénzügyi és nem pénzügyi szolgáltatók saját (intézményi vagy szektor</w:t>
      </w:r>
      <w:r>
        <w:rPr>
          <w:rFonts w:ascii="Times New Roman" w:hAnsi="Times New Roman" w:cs="Times New Roman"/>
          <w:sz w:val="24"/>
          <w:szCs w:val="24"/>
        </w:rPr>
        <w:t>ális) kockázatelemzéseinek elkészítését és eljárásaik hatékonyabbá tételét;</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kockázatérzékenységi alapon történő ügyfél-átvilágítás hatékonyabb végrehajtását;</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kockázatokat figyelembe vevő egyszerűsített és szigorított eljárások kidolgozását és alkalmazá</w:t>
      </w:r>
      <w:r>
        <w:rPr>
          <w:rFonts w:ascii="Times New Roman" w:hAnsi="Times New Roman" w:cs="Times New Roman"/>
          <w:sz w:val="24"/>
          <w:szCs w:val="24"/>
        </w:rPr>
        <w:t>sát, illetve azon kivételek meghatározását, amelyeket részben vagy teljesen mentesíteni lehet/szükséges a pénzmosás és terrorizmus finanszírozása elleni rendelkezések alól;</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bűnüldözés stratégiájának, súlypontjainak meghatározását a pénzmosás és alapbűncs</w:t>
      </w:r>
      <w:r>
        <w:rPr>
          <w:rFonts w:ascii="Times New Roman" w:hAnsi="Times New Roman" w:cs="Times New Roman"/>
          <w:sz w:val="24"/>
          <w:szCs w:val="24"/>
        </w:rPr>
        <w:t>elekményei, valamint a terrorizmus finanszírozása elleni fellépés terén;</w:t>
      </w:r>
    </w:p>
    <w:p w:rsidR="00035150" w:rsidRDefault="00437D26">
      <w:pPr>
        <w:pStyle w:val="Listaszerbekezds"/>
        <w:numPr>
          <w:ilvl w:val="0"/>
          <w:numId w:val="1"/>
        </w:numPr>
        <w:spacing w:after="0" w:line="100" w:lineRule="atLeast"/>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pénzeszközt, vagyont generáló bűncselekmények pénzmosási kockázatának megbecsülését.</w:t>
      </w:r>
    </w:p>
    <w:p w:rsidR="00035150" w:rsidRDefault="00437D26">
      <w:pPr>
        <w:pStyle w:val="Listaszerbekezds"/>
        <w:keepNext/>
        <w:numPr>
          <w:ilvl w:val="0"/>
          <w:numId w:val="2"/>
        </w:numPr>
        <w:spacing w:before="240" w:after="120" w:line="100" w:lineRule="atLeast"/>
        <w:ind w:left="567" w:hanging="567"/>
        <w:contextualSpacing w:val="0"/>
        <w:rPr>
          <w:rFonts w:ascii="Times New Roman" w:hAnsi="Times New Roman" w:cs="Times New Roman"/>
          <w:b/>
          <w:sz w:val="24"/>
          <w:szCs w:val="24"/>
        </w:rPr>
      </w:pPr>
      <w:r>
        <w:rPr>
          <w:rFonts w:ascii="Times New Roman" w:hAnsi="Times New Roman" w:cs="Times New Roman"/>
          <w:b/>
          <w:sz w:val="24"/>
          <w:szCs w:val="24"/>
        </w:rPr>
        <w:t>Hazai lépések a nemzeti kockázatelemzés elkészítése kapcsán</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A kockázatok megismerése, valamint a</w:t>
      </w:r>
      <w:r>
        <w:rPr>
          <w:rFonts w:ascii="Times New Roman" w:hAnsi="Times New Roman" w:cs="Times New Roman"/>
          <w:sz w:val="24"/>
        </w:rPr>
        <w:t xml:space="preserve"> fenyegetések és sebezhető pontok feltárása érdekében az érintett hazai intézmények képviselői 2014 júniusában két munkacsoportban kezdték meg a kockázatok beazonosítását, valamint a fenyegetések és sebezhető pontok feltárását.</w:t>
      </w:r>
    </w:p>
    <w:p w:rsidR="00035150" w:rsidRDefault="00437D26">
      <w:pPr>
        <w:keepNext/>
        <w:spacing w:before="120" w:after="0" w:line="100" w:lineRule="atLeast"/>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i/>
          <w:sz w:val="24"/>
          <w:szCs w:val="24"/>
          <w:lang w:eastAsia="hu-HU"/>
        </w:rPr>
        <w:t>bűnüldöző munkacsoport</w:t>
      </w:r>
      <w:r>
        <w:rPr>
          <w:rFonts w:ascii="Times New Roman" w:eastAsia="Times New Roman" w:hAnsi="Times New Roman" w:cs="Times New Roman"/>
          <w:sz w:val="24"/>
          <w:szCs w:val="24"/>
          <w:lang w:eastAsia="hu-HU"/>
        </w:rPr>
        <w:t xml:space="preserve">ban a következő </w:t>
      </w:r>
      <w:r>
        <w:rPr>
          <w:rFonts w:ascii="Times New Roman" w:eastAsia="Calibri" w:hAnsi="Times New Roman" w:cs="Times New Roman"/>
          <w:i/>
          <w:sz w:val="24"/>
          <w:szCs w:val="24"/>
        </w:rPr>
        <w:t>bűnüldöző és igazságügyi szervek</w:t>
      </w:r>
      <w:r>
        <w:rPr>
          <w:rFonts w:ascii="Times New Roman" w:eastAsia="Calibri" w:hAnsi="Times New Roman" w:cs="Times New Roman"/>
          <w:sz w:val="24"/>
          <w:szCs w:val="24"/>
        </w:rPr>
        <w:t xml:space="preserve"> képviselői vettek részt: </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Nemzeti Adó- és Vámhivatal (NAV) Központi Irányítás Pénzmosás Elleni Információs Iroda (NAV PEII) – a magyar FIU;</w:t>
      </w:r>
    </w:p>
    <w:p w:rsidR="00035150" w:rsidRDefault="00437D26" w:rsidP="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NAV, mint nyomozóhatóság és vámhatóság</w:t>
      </w:r>
      <w:r>
        <w:rPr>
          <w:rStyle w:val="Lbjegyzet-horgony"/>
          <w:rFonts w:ascii="Times New Roman" w:eastAsia="Calibri" w:hAnsi="Times New Roman" w:cs="Times New Roman"/>
          <w:sz w:val="24"/>
          <w:szCs w:val="24"/>
        </w:rPr>
        <w:footnoteReference w:id="5"/>
      </w:r>
      <w:r>
        <w:rPr>
          <w:rFonts w:ascii="Times New Roman" w:eastAsia="Calibri" w:hAnsi="Times New Roman" w:cs="Times New Roman"/>
          <w:sz w:val="24"/>
          <w:szCs w:val="24"/>
        </w:rPr>
        <w:t>;</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Igazságügyi Minisztérium;</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Belügyminisztérium – Országos Rendőr-főkapitányság (ORFK), Terrorelhárítási Központ (TEK), Készenléti Rendőrség Nemzeti Nyomozó Iroda Vagyon-visszaszerzési Hivatal; </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Legfőbb Ügyészség;</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Országos Bírósági Hivatal.</w:t>
      </w:r>
    </w:p>
    <w:p w:rsidR="00035150" w:rsidRDefault="00437D26">
      <w:pPr>
        <w:keepNext/>
        <w:spacing w:before="120" w:after="0"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i/>
          <w:sz w:val="24"/>
          <w:szCs w:val="24"/>
        </w:rPr>
        <w:t>felügyeletet ellátó szervek munkacsoport</w:t>
      </w:r>
      <w:r>
        <w:rPr>
          <w:rFonts w:ascii="Times New Roman" w:eastAsia="Calibri" w:hAnsi="Times New Roman" w:cs="Times New Roman"/>
          <w:sz w:val="24"/>
          <w:szCs w:val="24"/>
        </w:rPr>
        <w:t xml:space="preserve">jában az érintett szervek </w:t>
      </w:r>
      <w:r>
        <w:rPr>
          <w:rFonts w:ascii="Times New Roman" w:eastAsia="Calibri" w:hAnsi="Times New Roman" w:cs="Times New Roman"/>
          <w:i/>
          <w:sz w:val="24"/>
          <w:szCs w:val="24"/>
        </w:rPr>
        <w:t xml:space="preserve">felügyeleti tapasztalattal rendelkező szakértői </w:t>
      </w:r>
      <w:r>
        <w:rPr>
          <w:rFonts w:ascii="Times New Roman" w:eastAsia="Calibri" w:hAnsi="Times New Roman" w:cs="Times New Roman"/>
          <w:sz w:val="24"/>
          <w:szCs w:val="24"/>
        </w:rPr>
        <w:t>vettek részt:</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Magyar Nemzeti Bank;</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NAV – NAV PEII, NAV Központi Irányítás Szerencsejáték-felügyeleti Főosztály;</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Magyar Országos Közjegyzői Kamara (MOKK);</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Magyar Könyvvizsgálói Kamara</w:t>
      </w:r>
      <w:r>
        <w:rPr>
          <w:rFonts w:ascii="Times New Roman" w:eastAsia="Calibri" w:hAnsi="Times New Roman" w:cs="Times New Roman"/>
          <w:sz w:val="24"/>
          <w:szCs w:val="24"/>
        </w:rPr>
        <w:t xml:space="preserve"> (MKVK);</w:t>
      </w:r>
    </w:p>
    <w:p w:rsidR="00035150" w:rsidRDefault="00437D26">
      <w:pPr>
        <w:pStyle w:val="Listaszerbekezds"/>
        <w:numPr>
          <w:ilvl w:val="0"/>
          <w:numId w:val="3"/>
        </w:numPr>
        <w:spacing w:after="0" w:line="100" w:lineRule="atLeast"/>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Magyar Kereskedelmi Engedélyezési Hivatal (MKEH).</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A munkacsoportokban a társelnöki feladatokat az NGM, az MNB és a NAV PEII látta el.</w:t>
      </w:r>
    </w:p>
    <w:p w:rsidR="00035150" w:rsidRDefault="00437D26">
      <w:pPr>
        <w:pStyle w:val="Listaszerbekezds"/>
        <w:keepNext/>
        <w:numPr>
          <w:ilvl w:val="0"/>
          <w:numId w:val="2"/>
        </w:numPr>
        <w:spacing w:before="240" w:after="120" w:line="100" w:lineRule="atLeast"/>
        <w:ind w:left="567" w:hanging="567"/>
        <w:contextualSpacing w:val="0"/>
        <w:rPr>
          <w:rFonts w:ascii="Times New Roman" w:hAnsi="Times New Roman" w:cs="Times New Roman"/>
          <w:b/>
          <w:sz w:val="24"/>
          <w:szCs w:val="24"/>
        </w:rPr>
      </w:pPr>
      <w:r>
        <w:rPr>
          <w:rFonts w:ascii="Times New Roman" w:hAnsi="Times New Roman" w:cs="Times New Roman"/>
          <w:b/>
          <w:sz w:val="24"/>
          <w:szCs w:val="24"/>
        </w:rPr>
        <w:t>A nemzeti kockázatelemzés célja, hatálya és módszertana:</w:t>
      </w:r>
    </w:p>
    <w:p w:rsidR="00035150" w:rsidRDefault="00437D26">
      <w:pPr>
        <w:spacing w:before="120" w:after="0" w:line="100" w:lineRule="atLeast"/>
        <w:jc w:val="both"/>
        <w:rPr>
          <w:rFonts w:ascii="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 </w:t>
      </w:r>
      <w:r>
        <w:rPr>
          <w:rFonts w:ascii="Times New Roman" w:hAnsi="Times New Roman" w:cs="Times New Roman"/>
          <w:i/>
          <w:sz w:val="24"/>
          <w:szCs w:val="24"/>
        </w:rPr>
        <w:t xml:space="preserve">nemzeti kockázatértékelés </w:t>
      </w:r>
      <w:r>
        <w:rPr>
          <w:rFonts w:ascii="Times New Roman" w:hAnsi="Times New Roman" w:cs="Times New Roman"/>
          <w:i/>
          <w:sz w:val="24"/>
          <w:szCs w:val="24"/>
          <w:u w:val="single"/>
        </w:rPr>
        <w:t>célja</w:t>
      </w:r>
      <w:r>
        <w:rPr>
          <w:rFonts w:ascii="Times New Roman" w:hAnsi="Times New Roman" w:cs="Times New Roman"/>
          <w:i/>
          <w:sz w:val="24"/>
          <w:szCs w:val="24"/>
        </w:rPr>
        <w:t xml:space="preserve"> </w:t>
      </w:r>
      <w:r>
        <w:rPr>
          <w:rFonts w:ascii="Times New Roman" w:hAnsi="Times New Roman" w:cs="Times New Roman"/>
          <w:sz w:val="24"/>
          <w:szCs w:val="24"/>
        </w:rPr>
        <w:t xml:space="preserve">a pénzmosáshoz és </w:t>
      </w:r>
      <w:r>
        <w:rPr>
          <w:rFonts w:ascii="Times New Roman" w:hAnsi="Times New Roman" w:cs="Times New Roman"/>
          <w:sz w:val="24"/>
          <w:szCs w:val="24"/>
        </w:rPr>
        <w:t>alapbűncselekményeihez, illetve a terrorizmus finanszírozásához kapcsolódó kockázatok meghatározása a fenyegetések és a sebezhető pontok feltárásával. Ennek keretében szükséges a már meglévő és alkalmazott kockázatcsökkentési technikák áttekintése, illetve</w:t>
      </w:r>
      <w:r>
        <w:rPr>
          <w:rFonts w:ascii="Times New Roman" w:hAnsi="Times New Roman" w:cs="Times New Roman"/>
          <w:sz w:val="24"/>
          <w:szCs w:val="24"/>
        </w:rPr>
        <w:t xml:space="preserve"> utolsó lépésként az azonnali és hosszútávú feladatok azonosítása.</w:t>
      </w:r>
    </w:p>
    <w:p w:rsidR="00035150" w:rsidRDefault="00437D26">
      <w:pPr>
        <w:spacing w:before="12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 </w:t>
      </w:r>
      <w:r>
        <w:rPr>
          <w:rFonts w:ascii="Times New Roman" w:hAnsi="Times New Roman" w:cs="Times New Roman"/>
          <w:i/>
          <w:sz w:val="24"/>
          <w:szCs w:val="24"/>
        </w:rPr>
        <w:t xml:space="preserve">nemzeti kockázatértékelés </w:t>
      </w:r>
      <w:r>
        <w:rPr>
          <w:rFonts w:ascii="Times New Roman" w:hAnsi="Times New Roman" w:cs="Times New Roman"/>
          <w:i/>
          <w:sz w:val="24"/>
          <w:szCs w:val="24"/>
          <w:u w:val="single"/>
        </w:rPr>
        <w:t>hatálya:</w:t>
      </w:r>
      <w:r>
        <w:rPr>
          <w:rFonts w:ascii="Times New Roman" w:hAnsi="Times New Roman" w:cs="Times New Roman"/>
          <w:i/>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pénzmosásra</w:t>
      </w:r>
      <w:r>
        <w:rPr>
          <w:rFonts w:ascii="Times New Roman" w:eastAsia="Times New Roman" w:hAnsi="Times New Roman" w:cs="Times New Roman"/>
          <w:sz w:val="24"/>
          <w:szCs w:val="24"/>
        </w:rPr>
        <w:t>, a vagyont generáló bűncselekményekre (alapbűncselekmények), valamint a terrorizmus finanszírozására terjed ki.</w:t>
      </w:r>
    </w:p>
    <w:p w:rsidR="00035150" w:rsidRDefault="00437D26">
      <w:pPr>
        <w:spacing w:before="12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lang w:eastAsia="hu-HU"/>
        </w:rPr>
        <w:t>nemzeti</w:t>
      </w:r>
      <w:r>
        <w:rPr>
          <w:rFonts w:ascii="Times New Roman" w:eastAsia="Times New Roman" w:hAnsi="Times New Roman" w:cs="Times New Roman"/>
          <w:sz w:val="24"/>
          <w:szCs w:val="24"/>
        </w:rPr>
        <w:t xml:space="preserve"> kockázatérték</w:t>
      </w:r>
      <w:r>
        <w:rPr>
          <w:rFonts w:ascii="Times New Roman" w:eastAsia="Times New Roman" w:hAnsi="Times New Roman" w:cs="Times New Roman"/>
          <w:sz w:val="24"/>
          <w:szCs w:val="24"/>
        </w:rPr>
        <w:t>elés a 2014-2015 közötti időszakot vizsgálta.</w:t>
      </w:r>
    </w:p>
    <w:p w:rsidR="00035150" w:rsidRDefault="00437D26">
      <w:pPr>
        <w:keepNext/>
        <w:spacing w:before="120" w:after="0" w:line="100" w:lineRule="atLeast"/>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C. </w:t>
      </w:r>
      <w:r>
        <w:rPr>
          <w:rFonts w:ascii="Times New Roman" w:eastAsia="Times New Roman" w:hAnsi="Times New Roman" w:cs="Times New Roman"/>
          <w:sz w:val="24"/>
          <w:szCs w:val="24"/>
        </w:rPr>
        <w:t xml:space="preserve">A </w:t>
      </w:r>
      <w:r>
        <w:rPr>
          <w:rFonts w:ascii="Times New Roman" w:hAnsi="Times New Roman" w:cs="Times New Roman"/>
          <w:sz w:val="24"/>
          <w:szCs w:val="24"/>
        </w:rPr>
        <w:t>nemzeti kockázatelemzés</w:t>
      </w:r>
      <w:r>
        <w:rPr>
          <w:rFonts w:ascii="Times New Roman" w:hAnsi="Times New Roman" w:cs="Times New Roman"/>
          <w:i/>
          <w:sz w:val="24"/>
          <w:szCs w:val="24"/>
        </w:rPr>
        <w:t xml:space="preserve"> </w:t>
      </w:r>
      <w:r>
        <w:rPr>
          <w:rFonts w:ascii="Times New Roman" w:hAnsi="Times New Roman" w:cs="Times New Roman"/>
          <w:i/>
          <w:sz w:val="24"/>
          <w:szCs w:val="24"/>
          <w:u w:val="single"/>
        </w:rPr>
        <w:t>módszertana</w:t>
      </w:r>
      <w:r>
        <w:rPr>
          <w:rFonts w:ascii="Times New Roman" w:hAnsi="Times New Roman" w:cs="Times New Roman"/>
          <w:i/>
          <w:sz w:val="24"/>
          <w:szCs w:val="24"/>
        </w:rPr>
        <w:t>:</w:t>
      </w:r>
    </w:p>
    <w:p w:rsidR="00035150" w:rsidRDefault="00437D26" w:rsidP="00437D26">
      <w:pPr>
        <w:spacing w:after="0" w:line="100" w:lineRule="atLeast"/>
        <w:jc w:val="both"/>
        <w:rPr>
          <w:rFonts w:ascii="Times New Roman" w:eastAsia="Calibri" w:hAnsi="Times New Roman" w:cs="Times New Roman"/>
          <w:sz w:val="24"/>
          <w:szCs w:val="24"/>
          <w:lang w:eastAsia="hu-HU"/>
        </w:rPr>
      </w:pPr>
      <w:r>
        <w:rPr>
          <w:rFonts w:ascii="Times New Roman" w:hAnsi="Times New Roman" w:cs="Times New Roman"/>
          <w:sz w:val="24"/>
          <w:szCs w:val="24"/>
        </w:rPr>
        <w:t xml:space="preserve">A nemzeti kockázatelemzés készítésének </w:t>
      </w:r>
      <w:r>
        <w:rPr>
          <w:rFonts w:ascii="Times New Roman" w:hAnsi="Times New Roman" w:cs="Times New Roman"/>
          <w:i/>
          <w:sz w:val="24"/>
          <w:szCs w:val="24"/>
          <w:u w:val="single"/>
        </w:rPr>
        <w:t>alapkoncepciója</w:t>
      </w:r>
      <w:r>
        <w:rPr>
          <w:rFonts w:ascii="Times New Roman" w:eastAsia="Calibri" w:hAnsi="Times New Roman" w:cs="Times New Roman"/>
          <w:sz w:val="24"/>
          <w:szCs w:val="24"/>
          <w:lang w:eastAsia="hu-HU"/>
        </w:rPr>
        <w:t xml:space="preserve"> az FATF által publikált iránymutatásra</w:t>
      </w:r>
      <w:r>
        <w:rPr>
          <w:rStyle w:val="Lbjegyzet-horgony"/>
          <w:rFonts w:ascii="Times New Roman" w:eastAsia="Calibri" w:hAnsi="Times New Roman" w:cs="Times New Roman"/>
          <w:sz w:val="24"/>
          <w:szCs w:val="24"/>
          <w:lang w:eastAsia="hu-HU"/>
        </w:rPr>
        <w:footnoteReference w:id="6"/>
      </w:r>
      <w:r>
        <w:rPr>
          <w:rFonts w:ascii="Times New Roman" w:eastAsia="Calibri" w:hAnsi="Times New Roman" w:cs="Times New Roman"/>
          <w:sz w:val="24"/>
          <w:szCs w:val="24"/>
          <w:lang w:eastAsia="hu-HU"/>
        </w:rPr>
        <w:t xml:space="preserve"> és a Világbank által készített módszertanra</w:t>
      </w:r>
      <w:r>
        <w:rPr>
          <w:rStyle w:val="Lbjegyzet-horgony"/>
          <w:rFonts w:ascii="Times New Roman" w:eastAsia="Calibri" w:hAnsi="Times New Roman" w:cs="Times New Roman"/>
          <w:sz w:val="24"/>
          <w:szCs w:val="24"/>
          <w:lang w:eastAsia="hu-HU"/>
        </w:rPr>
        <w:footnoteReference w:id="7"/>
      </w:r>
      <w:r>
        <w:rPr>
          <w:rFonts w:ascii="Times New Roman" w:eastAsia="Calibri" w:hAnsi="Times New Roman" w:cs="Times New Roman"/>
          <w:sz w:val="24"/>
          <w:szCs w:val="24"/>
          <w:lang w:eastAsia="hu-HU"/>
        </w:rPr>
        <w:t xml:space="preserve"> épül, de felhasználja a már publikált nemzeti kockázatelemzések eredményeit is.</w:t>
      </w:r>
    </w:p>
    <w:p w:rsidR="00035150" w:rsidRDefault="00437D26">
      <w:pPr>
        <w:spacing w:before="120" w:after="0" w:line="100" w:lineRule="atLeast"/>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xml:space="preserve">A két munkacsoport </w:t>
      </w:r>
      <w:r>
        <w:rPr>
          <w:rFonts w:ascii="Times New Roman" w:eastAsia="Calibri" w:hAnsi="Times New Roman" w:cs="Times New Roman"/>
          <w:i/>
          <w:sz w:val="24"/>
          <w:szCs w:val="24"/>
          <w:lang w:eastAsia="hu-HU"/>
        </w:rPr>
        <w:t>eltérő módszertan</w:t>
      </w:r>
      <w:r>
        <w:rPr>
          <w:rFonts w:ascii="Times New Roman" w:eastAsia="Calibri" w:hAnsi="Times New Roman" w:cs="Times New Roman"/>
          <w:sz w:val="24"/>
          <w:szCs w:val="24"/>
          <w:lang w:eastAsia="hu-HU"/>
        </w:rPr>
        <w:t xml:space="preserve"> alapján kezdte meg a munkát. A </w:t>
      </w:r>
      <w:r>
        <w:rPr>
          <w:rFonts w:ascii="Times New Roman" w:eastAsia="Times New Roman" w:hAnsi="Times New Roman" w:cs="Times New Roman"/>
          <w:sz w:val="24"/>
          <w:szCs w:val="24"/>
          <w:lang w:eastAsia="hu-HU"/>
        </w:rPr>
        <w:t xml:space="preserve">bűnüldöző és igazságügyi szerveket tömörítő munkacsoport négy almunkacsoportban tárgyalta meg a résztvevők </w:t>
      </w:r>
      <w:r>
        <w:rPr>
          <w:rFonts w:ascii="Times New Roman" w:eastAsia="Times New Roman" w:hAnsi="Times New Roman" w:cs="Times New Roman"/>
          <w:sz w:val="24"/>
          <w:szCs w:val="24"/>
          <w:lang w:eastAsia="hu-HU"/>
        </w:rPr>
        <w:t xml:space="preserve">felvetéseit, a felügyeletet ellátó szerveket tömörítő munkacsoport az NGM által elkészített </w:t>
      </w:r>
      <w:r>
        <w:rPr>
          <w:rFonts w:ascii="Times New Roman" w:eastAsia="Times New Roman" w:hAnsi="Times New Roman" w:cs="Times New Roman"/>
          <w:i/>
          <w:sz w:val="24"/>
          <w:szCs w:val="24"/>
          <w:lang w:eastAsia="hu-HU"/>
        </w:rPr>
        <w:t>kérdőívekre válaszolt</w:t>
      </w:r>
      <w:r>
        <w:rPr>
          <w:rFonts w:ascii="Times New Roman" w:eastAsia="Times New Roman" w:hAnsi="Times New Roman" w:cs="Times New Roman"/>
          <w:sz w:val="24"/>
          <w:szCs w:val="24"/>
          <w:lang w:eastAsia="hu-HU"/>
        </w:rPr>
        <w:t>.</w:t>
      </w:r>
    </w:p>
    <w:p w:rsidR="00035150" w:rsidRDefault="00437D26">
      <w:pPr>
        <w:spacing w:before="120" w:after="0" w:line="100" w:lineRule="atLeast"/>
        <w:jc w:val="both"/>
        <w:rPr>
          <w:rFonts w:ascii="Times New Roman" w:eastAsia="Times New Roman" w:hAnsi="Times New Roman" w:cs="Times New Roman"/>
          <w:bCs/>
          <w:color w:val="000000"/>
          <w:sz w:val="24"/>
          <w:szCs w:val="24"/>
          <w:lang w:eastAsia="hu-HU"/>
        </w:rPr>
      </w:pPr>
      <w:r>
        <w:rPr>
          <w:rFonts w:ascii="Times New Roman" w:hAnsi="Times New Roman" w:cs="Times New Roman"/>
          <w:sz w:val="24"/>
        </w:rPr>
        <w:t>A két munkacsoport a beazonosított kockázati tényezők mellett rögzítette azok rövid leírását (a kockázatok természetével és eredetével kapcso</w:t>
      </w:r>
      <w:r>
        <w:rPr>
          <w:rFonts w:ascii="Times New Roman" w:hAnsi="Times New Roman" w:cs="Times New Roman"/>
          <w:sz w:val="24"/>
        </w:rPr>
        <w:t>latos elemzést) is, és meghatározta az egyes tényezők kockázati szintjét (</w:t>
      </w:r>
      <w:r>
        <w:rPr>
          <w:rFonts w:ascii="Times New Roman" w:eastAsia="Times New Roman" w:hAnsi="Times New Roman" w:cs="Times New Roman"/>
          <w:bCs/>
          <w:color w:val="000000"/>
          <w:sz w:val="24"/>
          <w:szCs w:val="24"/>
          <w:lang w:eastAsia="hu-HU"/>
        </w:rPr>
        <w:t>alacsony, közepes, magas), illetve kockázati faktorát</w:t>
      </w:r>
      <w:r>
        <w:rPr>
          <w:rStyle w:val="Lbjegyzet-horgony"/>
          <w:rFonts w:ascii="Times New Roman" w:eastAsia="Times New Roman" w:hAnsi="Times New Roman" w:cs="Times New Roman"/>
          <w:bCs/>
          <w:color w:val="000000"/>
          <w:sz w:val="24"/>
          <w:szCs w:val="24"/>
          <w:lang w:eastAsia="hu-HU"/>
        </w:rPr>
        <w:footnoteReference w:id="8"/>
      </w:r>
      <w:r>
        <w:rPr>
          <w:rFonts w:ascii="Times New Roman" w:eastAsia="Times New Roman" w:hAnsi="Times New Roman" w:cs="Times New Roman"/>
          <w:bCs/>
          <w:i/>
          <w:color w:val="000000"/>
          <w:sz w:val="24"/>
          <w:szCs w:val="24"/>
          <w:lang w:eastAsia="hu-HU"/>
        </w:rPr>
        <w:t xml:space="preserve"> </w:t>
      </w:r>
      <w:r>
        <w:rPr>
          <w:rFonts w:ascii="Times New Roman" w:eastAsia="Times New Roman" w:hAnsi="Times New Roman" w:cs="Times New Roman"/>
          <w:bCs/>
          <w:color w:val="000000"/>
          <w:sz w:val="24"/>
          <w:szCs w:val="24"/>
          <w:lang w:eastAsia="hu-HU"/>
        </w:rPr>
        <w:t>[fenyegetés (T), sérülékenység (V)].</w:t>
      </w:r>
    </w:p>
    <w:p w:rsidR="00035150" w:rsidRDefault="00437D26">
      <w:pPr>
        <w:spacing w:before="120" w:after="0" w:line="100" w:lineRule="atLeast"/>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szolgáltatók bevonása a munkába a felügyeletet ellátó szervek, érdekképviseletek által </w:t>
      </w:r>
      <w:r>
        <w:rPr>
          <w:rFonts w:ascii="Times New Roman" w:eastAsia="Calibri" w:hAnsi="Times New Roman" w:cs="Times New Roman"/>
          <w:sz w:val="24"/>
          <w:szCs w:val="24"/>
          <w:lang w:eastAsia="hu-HU"/>
        </w:rPr>
        <w:t>történt.</w:t>
      </w:r>
    </w:p>
    <w:p w:rsidR="00035150" w:rsidRDefault="00437D26">
      <w:pPr>
        <w:spacing w:before="120" w:after="0" w:line="100" w:lineRule="atLeast"/>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kockázati tényezők beazonosításának véglegesítésével egyidejűleg Nemzeti Kockázatelemzés címen elkészült egy összefoglaló dokumentum, amely a magas kockázatok, illetve a nemzetközi ajánlások és módszertanok alapján a pénzmosás jellemző alapcsele</w:t>
      </w:r>
      <w:r>
        <w:rPr>
          <w:rFonts w:ascii="Times New Roman" w:eastAsia="Times New Roman" w:hAnsi="Times New Roman" w:cs="Times New Roman"/>
          <w:sz w:val="24"/>
          <w:szCs w:val="24"/>
          <w:lang w:eastAsia="hu-HU"/>
        </w:rPr>
        <w:t>kményének tekinthető, vagyongeneráló és szervezett bűnözéssel összefüggő bűncselekményeket elemzi részletesebben.</w:t>
      </w:r>
    </w:p>
    <w:p w:rsidR="00035150" w:rsidRDefault="00437D26">
      <w:pPr>
        <w:keepNext/>
        <w:spacing w:before="120" w:after="0" w:line="100" w:lineRule="atLeast"/>
        <w:jc w:val="both"/>
        <w:rPr>
          <w:rFonts w:ascii="Times New Roman" w:hAnsi="Times New Roman" w:cs="Times New Roman"/>
          <w:i/>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 </w:t>
      </w:r>
      <w:r>
        <w:rPr>
          <w:rFonts w:ascii="Times New Roman" w:hAnsi="Times New Roman" w:cs="Times New Roman"/>
          <w:sz w:val="24"/>
          <w:szCs w:val="24"/>
        </w:rPr>
        <w:t>nemzeti kockázatelemzés</w:t>
      </w:r>
      <w:r>
        <w:rPr>
          <w:rFonts w:ascii="Times New Roman" w:hAnsi="Times New Roman" w:cs="Times New Roman"/>
          <w:i/>
          <w:sz w:val="24"/>
          <w:szCs w:val="24"/>
        </w:rPr>
        <w:t xml:space="preserve"> </w:t>
      </w:r>
      <w:r>
        <w:rPr>
          <w:rFonts w:ascii="Times New Roman" w:hAnsi="Times New Roman" w:cs="Times New Roman"/>
          <w:i/>
          <w:sz w:val="24"/>
          <w:szCs w:val="24"/>
          <w:u w:val="single"/>
        </w:rPr>
        <w:t>véglegesítése és aktualizálása</w:t>
      </w:r>
      <w:r>
        <w:rPr>
          <w:rFonts w:ascii="Times New Roman" w:hAnsi="Times New Roman" w:cs="Times New Roman"/>
          <w:i/>
          <w:sz w:val="24"/>
          <w:szCs w:val="24"/>
        </w:rPr>
        <w:t>:</w:t>
      </w:r>
    </w:p>
    <w:p w:rsidR="00035150" w:rsidRDefault="00437D26">
      <w:pPr>
        <w:spacing w:after="0" w:line="100" w:lineRule="atLeast"/>
        <w:jc w:val="both"/>
        <w:rPr>
          <w:rFonts w:ascii="Times New Roman" w:hAnsi="Times New Roman" w:cs="Times New Roman"/>
          <w:sz w:val="24"/>
        </w:rPr>
      </w:pPr>
      <w:r>
        <w:rPr>
          <w:rFonts w:ascii="Times New Roman" w:hAnsi="Times New Roman" w:cs="Times New Roman"/>
          <w:sz w:val="24"/>
        </w:rPr>
        <w:t xml:space="preserve">2015 végére mind a Nemzeti Kockázatelemzés, mind a kockázati tényezők részletes </w:t>
      </w:r>
      <w:r>
        <w:rPr>
          <w:rFonts w:ascii="Times New Roman" w:hAnsi="Times New Roman" w:cs="Times New Roman"/>
          <w:sz w:val="24"/>
        </w:rPr>
        <w:t>leírását tartalmazó dokumentum, valamint annak mellékletét képező táblázatok (a továbbiakban együttesen: Nemzeti Kockázatelemzés) véglegesítése megtörtént, azt a nemzetgazdasági miniszter jóváhagyta.</w:t>
      </w:r>
    </w:p>
    <w:p w:rsidR="00035150" w:rsidRDefault="00437D26">
      <w:pPr>
        <w:spacing w:before="120"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A Nemzeti Kockázatelemzés felülvizsgálata a tervek szeri</w:t>
      </w:r>
      <w:r>
        <w:rPr>
          <w:rFonts w:ascii="Times New Roman" w:eastAsia="Times New Roman" w:hAnsi="Times New Roman" w:cs="Times New Roman"/>
          <w:sz w:val="24"/>
          <w:szCs w:val="24"/>
        </w:rPr>
        <w:t>nt rendszeresen</w:t>
      </w:r>
      <w:r>
        <w:rPr>
          <w:rFonts w:ascii="Times New Roman" w:eastAsia="Times New Roman" w:hAnsi="Times New Roman" w:cs="Times New Roman"/>
          <w:sz w:val="24"/>
          <w:szCs w:val="24"/>
        </w:rPr>
        <w:t xml:space="preserve"> lezajlik. U</w:t>
      </w:r>
      <w:r>
        <w:rPr>
          <w:rFonts w:ascii="Times New Roman" w:hAnsi="Times New Roman" w:cs="Times New Roman"/>
          <w:sz w:val="24"/>
          <w:szCs w:val="24"/>
        </w:rPr>
        <w:t xml:space="preserve">gyanakkor, ha terrorizmus finanszírozása kapcsán, vagy egyéb gyakorlati tapasztalatok alapján komoly kockázat merülne fel, akkor az soron kívüli elemzést követően a lehető leggyorsabban beépül a </w:t>
      </w:r>
      <w:r>
        <w:rPr>
          <w:rFonts w:ascii="Times New Roman" w:hAnsi="Times New Roman" w:cs="Times New Roman"/>
          <w:sz w:val="24"/>
          <w:szCs w:val="24"/>
        </w:rPr>
        <w:t>kockázatelemzésbe.</w:t>
      </w:r>
    </w:p>
    <w:p w:rsidR="00035150" w:rsidRDefault="00437D26">
      <w:pPr>
        <w:keepNext/>
        <w:spacing w:before="120" w:after="0" w:line="100" w:lineRule="atLeast"/>
        <w:jc w:val="both"/>
        <w:rPr>
          <w:rFonts w:ascii="Times New Roman" w:hAnsi="Times New Roman" w:cs="Times New Roman"/>
          <w:i/>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 </w:t>
      </w:r>
      <w:r>
        <w:rPr>
          <w:rFonts w:ascii="Times New Roman" w:hAnsi="Times New Roman" w:cs="Times New Roman"/>
          <w:sz w:val="24"/>
          <w:szCs w:val="24"/>
        </w:rPr>
        <w:t>nemzeti kockázatelemzés</w:t>
      </w:r>
      <w:r>
        <w:rPr>
          <w:rFonts w:ascii="Times New Roman" w:hAnsi="Times New Roman" w:cs="Times New Roman"/>
          <w:i/>
          <w:sz w:val="24"/>
          <w:szCs w:val="24"/>
        </w:rPr>
        <w:t xml:space="preserve"> </w:t>
      </w:r>
      <w:r>
        <w:rPr>
          <w:rFonts w:ascii="Times New Roman" w:hAnsi="Times New Roman" w:cs="Times New Roman"/>
          <w:i/>
          <w:sz w:val="24"/>
          <w:szCs w:val="24"/>
          <w:u w:val="single"/>
        </w:rPr>
        <w:t>publikálása</w:t>
      </w:r>
      <w:r>
        <w:rPr>
          <w:rFonts w:ascii="Times New Roman" w:hAnsi="Times New Roman" w:cs="Times New Roman"/>
          <w:i/>
          <w:sz w:val="24"/>
          <w:szCs w:val="24"/>
        </w:rPr>
        <w:t>:</w:t>
      </w:r>
    </w:p>
    <w:p w:rsidR="00035150" w:rsidRDefault="00437D26">
      <w:pPr>
        <w:spacing w:after="0" w:line="100" w:lineRule="atLeast"/>
        <w:jc w:val="both"/>
        <w:rPr>
          <w:rFonts w:ascii="Times New Roman" w:hAnsi="Times New Roman" w:cs="Times New Roman"/>
          <w:sz w:val="24"/>
          <w:szCs w:val="24"/>
        </w:rPr>
      </w:pPr>
      <w:r>
        <w:rPr>
          <w:rFonts w:ascii="Times New Roman" w:hAnsi="Times New Roman" w:cs="Times New Roman"/>
          <w:sz w:val="24"/>
        </w:rPr>
        <w:t>A Nemzeti Kockázatelemzést a széles közönség csak kivonati szinten, jelen dokumentumban ismerheti meg, az azonosított kockázatok pontos meghatározása nélkül. Ugyanakkor a</w:t>
      </w:r>
      <w:r>
        <w:rPr>
          <w:rFonts w:ascii="Times New Roman" w:hAnsi="Times New Roman" w:cs="Times New Roman"/>
          <w:sz w:val="24"/>
          <w:szCs w:val="24"/>
        </w:rPr>
        <w:t xml:space="preserve"> szolgáltatók a kockázate</w:t>
      </w:r>
      <w:r>
        <w:rPr>
          <w:rFonts w:ascii="Times New Roman" w:hAnsi="Times New Roman" w:cs="Times New Roman"/>
          <w:sz w:val="24"/>
          <w:szCs w:val="24"/>
        </w:rPr>
        <w:t xml:space="preserve">lemzés teljes tartalmát megismerhetik (bizalmas kezelés mellett, titoktartási nyilatkozat aláírásával), amennyiben azt kezdeményezik a felügyeletet ellátó szerveknél. Ezzel az eljárással biztosítható, hogy a nemzeti kockázatelemzés annak céljától eltérően </w:t>
      </w:r>
      <w:r>
        <w:rPr>
          <w:rFonts w:ascii="Times New Roman" w:hAnsi="Times New Roman" w:cs="Times New Roman"/>
          <w:sz w:val="24"/>
          <w:szCs w:val="24"/>
        </w:rPr>
        <w:t>ne kerüljön felhasználásra.</w:t>
      </w:r>
    </w:p>
    <w:p w:rsidR="00035150" w:rsidRDefault="00437D26">
      <w:pPr>
        <w:tabs>
          <w:tab w:val="left" w:pos="1440"/>
        </w:tabs>
        <w:spacing w:before="120" w:after="0" w:line="100" w:lineRule="atLeast"/>
        <w:jc w:val="both"/>
        <w:rPr>
          <w:rFonts w:ascii="Times New Roman" w:hAnsi="Times New Roman" w:cs="Times New Roman"/>
          <w:sz w:val="24"/>
          <w:szCs w:val="24"/>
        </w:rPr>
      </w:pPr>
      <w:r>
        <w:rPr>
          <w:rFonts w:ascii="Times New Roman" w:hAnsi="Times New Roman" w:cs="Times New Roman"/>
          <w:sz w:val="24"/>
          <w:szCs w:val="24"/>
        </w:rPr>
        <w:t>Az érintett intézményeknek hatóságoknak a Nemzeti Kockázatelemzés közvetlenül, teljes terjedelmében és részletezettségében rendelkezésére áll.</w:t>
      </w:r>
    </w:p>
    <w:p w:rsidR="00035150" w:rsidRDefault="00437D26">
      <w:pPr>
        <w:pStyle w:val="Listaszerbekezds"/>
        <w:keepNext/>
        <w:numPr>
          <w:ilvl w:val="0"/>
          <w:numId w:val="6"/>
        </w:numPr>
        <w:pBdr>
          <w:top w:val="nil"/>
          <w:left w:val="nil"/>
          <w:bottom w:val="single" w:sz="12" w:space="0" w:color="00000A"/>
          <w:right w:val="nil"/>
        </w:pBdr>
        <w:spacing w:before="240" w:after="120" w:line="100" w:lineRule="atLeast"/>
        <w:ind w:right="567"/>
        <w:contextualSpacing w:val="0"/>
        <w:jc w:val="center"/>
        <w:rPr>
          <w:rFonts w:ascii="Times New Roman" w:hAnsi="Times New Roman" w:cs="Times New Roman"/>
          <w:b/>
          <w:sz w:val="24"/>
        </w:rPr>
      </w:pPr>
      <w:r>
        <w:rPr>
          <w:rFonts w:ascii="Times New Roman" w:hAnsi="Times New Roman" w:cs="Times New Roman"/>
          <w:b/>
          <w:sz w:val="24"/>
        </w:rPr>
        <w:t>Azonosított kockázatok</w:t>
      </w:r>
    </w:p>
    <w:p w:rsidR="00035150" w:rsidRDefault="00437D26">
      <w:pPr>
        <w:keepNext/>
        <w:spacing w:before="120" w:after="0" w:line="100" w:lineRule="atLeast"/>
        <w:jc w:val="both"/>
        <w:rPr>
          <w:rFonts w:ascii="Times New Roman" w:hAnsi="Times New Roman" w:cs="Times New Roman"/>
          <w:sz w:val="24"/>
          <w:u w:val="single"/>
        </w:rPr>
      </w:pPr>
      <w:r>
        <w:rPr>
          <w:rFonts w:ascii="Times New Roman" w:hAnsi="Times New Roman" w:cs="Times New Roman"/>
          <w:sz w:val="24"/>
          <w:u w:val="single"/>
        </w:rPr>
        <w:t>Bűnmegelőzéssel, bűnfelderítéssel és bűnüldözéssel kapcsolatos</w:t>
      </w:r>
      <w:r>
        <w:rPr>
          <w:rFonts w:ascii="Times New Roman" w:hAnsi="Times New Roman" w:cs="Times New Roman"/>
          <w:sz w:val="24"/>
          <w:u w:val="single"/>
        </w:rPr>
        <w:t xml:space="preserve"> megállapított kockázati kategóriák: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jogszabályi környezetből adódó kockázati tényezők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a jelenlegi jogi szabályozással kapcsolatos hiányosságokra koncentráló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jogi szabályozás hiányából adódó kockázati tényezők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 xml:space="preserve">a pénzmosás </w:t>
      </w:r>
      <w:r>
        <w:rPr>
          <w:rFonts w:ascii="Times New Roman" w:hAnsi="Times New Roman" w:cs="Times New Roman"/>
          <w:sz w:val="24"/>
        </w:rPr>
        <w:t>és a terrorizmus finanszírozására elleni küzdelem hatékonyabbá válását segítő jogintézmények hiányára fókuszáló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lastRenderedPageBreak/>
        <w:t>pénzmosás elleni intézményrendszer szereplőit érintő kockázati tényezők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 xml:space="preserve">elsősorban az intézményrendszer szereplői között </w:t>
      </w:r>
      <w:r>
        <w:rPr>
          <w:rFonts w:ascii="Times New Roman" w:hAnsi="Times New Roman" w:cs="Times New Roman"/>
          <w:sz w:val="24"/>
        </w:rPr>
        <w:t>lévő koordinációval, jogértelmezéssel és jogalkalmazással kapcsolatos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a Pénzmosás Elleni Információs Iroda gyakorlati tapasztalatai alapján megállapított kockázatok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a Pmt. szerinti szolgáltatók által küldött bejelentések adatainak vi</w:t>
      </w:r>
      <w:r>
        <w:rPr>
          <w:rFonts w:ascii="Times New Roman" w:hAnsi="Times New Roman" w:cs="Times New Roman"/>
          <w:sz w:val="24"/>
        </w:rPr>
        <w:t>zsgálata során kiszűrt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felderítéshez és büntetőeljáráshoz kapcsolódó kockázati tényezők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a korrupcióval, vagyont generáló bűncselekményekkel, bűncselekmények elkövetéséből származó haszonnal, valamint a pénzmosás bűncselekmény felderí</w:t>
      </w:r>
      <w:r>
        <w:rPr>
          <w:rFonts w:ascii="Times New Roman" w:hAnsi="Times New Roman" w:cs="Times New Roman"/>
          <w:sz w:val="24"/>
        </w:rPr>
        <w:t>tésével és nyomozásával kapcsolatos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terrorizmus finanszírozásához kapcsolódó kockázati tényezők csoportja:</w:t>
      </w:r>
    </w:p>
    <w:p w:rsidR="00035150" w:rsidRDefault="00437D26">
      <w:pPr>
        <w:pStyle w:val="Listaszerbekezds"/>
        <w:numPr>
          <w:ilvl w:val="1"/>
          <w:numId w:val="4"/>
        </w:numPr>
        <w:spacing w:after="0" w:line="100" w:lineRule="atLeast"/>
        <w:ind w:left="1502" w:hanging="357"/>
        <w:contextualSpacing w:val="0"/>
        <w:jc w:val="both"/>
        <w:rPr>
          <w:rFonts w:ascii="Times New Roman" w:hAnsi="Times New Roman" w:cs="Times New Roman"/>
          <w:sz w:val="24"/>
        </w:rPr>
      </w:pPr>
      <w:r>
        <w:rPr>
          <w:rFonts w:ascii="Times New Roman" w:hAnsi="Times New Roman" w:cs="Times New Roman"/>
          <w:sz w:val="24"/>
        </w:rPr>
        <w:t>a terrorizmus finanszírozásával kapcsolatba hozható kockázatok elsősorban nemzetközi tapasztalatok alapján.</w:t>
      </w:r>
    </w:p>
    <w:p w:rsidR="00035150" w:rsidRDefault="00437D26">
      <w:pPr>
        <w:keepNext/>
        <w:spacing w:before="120" w:after="0" w:line="100" w:lineRule="atLeast"/>
        <w:jc w:val="both"/>
        <w:rPr>
          <w:rFonts w:ascii="Times New Roman" w:hAnsi="Times New Roman" w:cs="Times New Roman"/>
          <w:sz w:val="24"/>
          <w:u w:val="single"/>
        </w:rPr>
      </w:pPr>
      <w:r>
        <w:rPr>
          <w:rFonts w:ascii="Times New Roman" w:hAnsi="Times New Roman" w:cs="Times New Roman"/>
          <w:sz w:val="24"/>
          <w:u w:val="single"/>
        </w:rPr>
        <w:t>A bűnüldöző szervek többek kö</w:t>
      </w:r>
      <w:r>
        <w:rPr>
          <w:rFonts w:ascii="Times New Roman" w:hAnsi="Times New Roman" w:cs="Times New Roman"/>
          <w:sz w:val="24"/>
          <w:u w:val="single"/>
        </w:rPr>
        <w:t>zött az alábbi kockázatokat azonosították:</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székhelyszolgáltatás elterjedtsége;</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„stróman jelenség”;</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offshore társaságok;</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központi számlanyilvántartás hiánya;</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készpénzforgalom nagysága</w:t>
      </w:r>
      <w:r>
        <w:rPr>
          <w:rFonts w:ascii="Times New Roman" w:hAnsi="Times New Roman" w:cs="Times New Roman"/>
          <w:sz w:val="24"/>
        </w:rPr>
        <w:t>.</w:t>
      </w:r>
    </w:p>
    <w:p w:rsidR="00035150" w:rsidRDefault="00437D26">
      <w:pPr>
        <w:keepNext/>
        <w:spacing w:before="120" w:after="0" w:line="100" w:lineRule="atLeast"/>
        <w:jc w:val="both"/>
        <w:rPr>
          <w:rFonts w:ascii="Times New Roman" w:hAnsi="Times New Roman" w:cs="Times New Roman"/>
          <w:sz w:val="24"/>
          <w:u w:val="single"/>
        </w:rPr>
      </w:pPr>
      <w:r>
        <w:rPr>
          <w:rFonts w:ascii="Times New Roman" w:hAnsi="Times New Roman" w:cs="Times New Roman"/>
          <w:sz w:val="24"/>
          <w:u w:val="single"/>
        </w:rPr>
        <w:t>A felügyeletei szerveknél felmerülő sérülékenységi tényezők:</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minta</w:t>
      </w:r>
      <w:r>
        <w:rPr>
          <w:rFonts w:ascii="Times New Roman" w:hAnsi="Times New Roman" w:cs="Times New Roman"/>
          <w:sz w:val="24"/>
        </w:rPr>
        <w:t>szabályzat és belső eljárásrend kialakításával kapcsolatos kockázatok</w:t>
      </w:r>
      <w:r>
        <w:rPr>
          <w:rFonts w:ascii="Times New Roman" w:hAnsi="Times New Roman" w:cs="Times New Roman"/>
          <w:sz w:val="24"/>
        </w:rPr>
        <w:t>;</w:t>
      </w:r>
    </w:p>
    <w:p w:rsidR="00035150" w:rsidRDefault="00437D26">
      <w:pPr>
        <w:pStyle w:val="Listaszerbekezds"/>
        <w:numPr>
          <w:ilvl w:val="0"/>
          <w:numId w:val="4"/>
        </w:numPr>
        <w:spacing w:after="0" w:line="100" w:lineRule="atLeast"/>
        <w:ind w:left="782" w:hanging="357"/>
        <w:contextualSpacing w:val="0"/>
        <w:jc w:val="both"/>
        <w:rPr>
          <w:rFonts w:ascii="Times New Roman" w:hAnsi="Times New Roman" w:cs="Times New Roman"/>
          <w:sz w:val="24"/>
        </w:rPr>
      </w:pPr>
      <w:r>
        <w:rPr>
          <w:rFonts w:ascii="Times New Roman" w:hAnsi="Times New Roman" w:cs="Times New Roman"/>
          <w:sz w:val="24"/>
        </w:rPr>
        <w:t>a Pmt. 5 §-a szerinti felügyeletet ellátó szervek által külön-külön azonosított speciális kockázatok</w:t>
      </w:r>
      <w:r>
        <w:rPr>
          <w:rFonts w:ascii="Times New Roman" w:hAnsi="Times New Roman" w:cs="Times New Roman"/>
          <w:sz w:val="24"/>
        </w:rPr>
        <w:t>.</w:t>
      </w:r>
    </w:p>
    <w:p w:rsidR="00035150" w:rsidRDefault="00437D26">
      <w:pPr>
        <w:keepNext/>
        <w:spacing w:before="120" w:after="0" w:line="100" w:lineRule="atLeast"/>
        <w:jc w:val="both"/>
        <w:rPr>
          <w:rFonts w:ascii="Times New Roman" w:hAnsi="Times New Roman" w:cs="Times New Roman"/>
          <w:sz w:val="24"/>
          <w:u w:val="single"/>
        </w:rPr>
      </w:pPr>
      <w:r>
        <w:rPr>
          <w:rFonts w:ascii="Times New Roman" w:hAnsi="Times New Roman" w:cs="Times New Roman"/>
          <w:sz w:val="24"/>
          <w:u w:val="single"/>
        </w:rPr>
        <w:t>A szolgáltatóknál felmerülő kockázatok</w:t>
      </w:r>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 xml:space="preserve">a pénzügyi szolgáltatók által azonosított </w:t>
      </w:r>
      <w:r>
        <w:rPr>
          <w:rFonts w:ascii="Times New Roman" w:hAnsi="Times New Roman" w:cs="Times New Roman"/>
          <w:sz w:val="24"/>
        </w:rPr>
        <w:t>kockázatok csoportja:</w:t>
      </w:r>
    </w:p>
    <w:p w:rsidR="00035150" w:rsidRDefault="00437D26">
      <w:pPr>
        <w:pStyle w:val="Listaszerbekezds"/>
        <w:numPr>
          <w:ilvl w:val="1"/>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a Pmt. rendelkezéseivel, azok végrehajtásával és az inte</w:t>
      </w:r>
      <w:r>
        <w:rPr>
          <w:rFonts w:ascii="Times New Roman" w:hAnsi="Times New Roman" w:cs="Times New Roman"/>
          <w:sz w:val="24"/>
        </w:rPr>
        <w:t>grációval összefüggő kockázatok.</w:t>
      </w:r>
      <w:bookmarkStart w:id="0" w:name="_GoBack"/>
      <w:bookmarkEnd w:id="0"/>
    </w:p>
    <w:p w:rsidR="00035150" w:rsidRDefault="00437D26">
      <w:pPr>
        <w:pStyle w:val="Listaszerbekezds"/>
        <w:numPr>
          <w:ilvl w:val="0"/>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a nem pénzügyi szolgáltatók által azonosított kockázatok csoportja:</w:t>
      </w:r>
    </w:p>
    <w:p w:rsidR="00035150" w:rsidRDefault="00437D26">
      <w:pPr>
        <w:pStyle w:val="Listaszerbekezds"/>
        <w:numPr>
          <w:ilvl w:val="1"/>
          <w:numId w:val="4"/>
        </w:numPr>
        <w:spacing w:after="0" w:line="100" w:lineRule="atLeast"/>
        <w:contextualSpacing w:val="0"/>
        <w:jc w:val="both"/>
        <w:rPr>
          <w:rFonts w:ascii="Times New Roman" w:hAnsi="Times New Roman" w:cs="Times New Roman"/>
          <w:sz w:val="24"/>
        </w:rPr>
      </w:pPr>
      <w:r>
        <w:rPr>
          <w:rFonts w:ascii="Times New Roman" w:hAnsi="Times New Roman" w:cs="Times New Roman"/>
          <w:sz w:val="24"/>
        </w:rPr>
        <w:t>a Pmt. rendelkezéseivel, azok végrehajtásával kapcsolatban álló, illetve a ne</w:t>
      </w:r>
      <w:r>
        <w:rPr>
          <w:rFonts w:ascii="Times New Roman" w:hAnsi="Times New Roman" w:cs="Times New Roman"/>
          <w:sz w:val="24"/>
        </w:rPr>
        <w:t>m pénzügyi szolgáltatók által külön-külön megállapított kockázatok.</w:t>
      </w:r>
    </w:p>
    <w:p w:rsidR="00035150" w:rsidRDefault="00437D26">
      <w:pPr>
        <w:pStyle w:val="Listaszerbekezds"/>
        <w:keepNext/>
        <w:numPr>
          <w:ilvl w:val="0"/>
          <w:numId w:val="6"/>
        </w:numPr>
        <w:pBdr>
          <w:top w:val="nil"/>
          <w:left w:val="nil"/>
          <w:bottom w:val="single" w:sz="12" w:space="0" w:color="00000A"/>
          <w:right w:val="nil"/>
        </w:pBdr>
        <w:spacing w:before="240" w:after="120" w:line="100" w:lineRule="atLeast"/>
        <w:ind w:right="567"/>
        <w:contextualSpacing w:val="0"/>
        <w:jc w:val="center"/>
        <w:rPr>
          <w:rFonts w:ascii="Times New Roman" w:hAnsi="Times New Roman" w:cs="Times New Roman"/>
          <w:b/>
          <w:sz w:val="24"/>
        </w:rPr>
      </w:pPr>
      <w:r>
        <w:rPr>
          <w:rFonts w:ascii="Times New Roman" w:hAnsi="Times New Roman" w:cs="Times New Roman"/>
          <w:b/>
          <w:sz w:val="24"/>
        </w:rPr>
        <w:t>Az azonosított kockázatok kezelése</w:t>
      </w:r>
    </w:p>
    <w:p w:rsidR="00035150" w:rsidRDefault="00437D26">
      <w:pPr>
        <w:keepNext/>
        <w:spacing w:before="120" w:after="0" w:line="100" w:lineRule="atLeast"/>
        <w:jc w:val="both"/>
        <w:rPr>
          <w:rFonts w:ascii="Times New Roman" w:hAnsi="Times New Roman" w:cs="Times New Roman"/>
          <w:sz w:val="24"/>
          <w:u w:val="single"/>
        </w:rPr>
      </w:pPr>
      <w:r>
        <w:rPr>
          <w:rFonts w:ascii="Times New Roman" w:hAnsi="Times New Roman" w:cs="Times New Roman"/>
          <w:b/>
          <w:sz w:val="24"/>
          <w:u w:val="single"/>
        </w:rPr>
        <w:t>A.</w:t>
      </w:r>
      <w:r>
        <w:rPr>
          <w:rFonts w:ascii="Times New Roman" w:hAnsi="Times New Roman" w:cs="Times New Roman"/>
          <w:sz w:val="24"/>
          <w:u w:val="single"/>
        </w:rPr>
        <w:t xml:space="preserve"> A kockázatkezelés célja, módszere</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Az azonosított kockázatok kezeléséről külön munkadokumentum került kibocsátásra, három fő céllal:</w:t>
      </w:r>
    </w:p>
    <w:p w:rsidR="00035150" w:rsidRDefault="00437D26">
      <w:pPr>
        <w:pStyle w:val="Listaszerbekezds"/>
        <w:numPr>
          <w:ilvl w:val="0"/>
          <w:numId w:val="5"/>
        </w:numPr>
        <w:spacing w:after="0" w:line="100" w:lineRule="atLeast"/>
        <w:ind w:left="851"/>
        <w:contextualSpacing w:val="0"/>
        <w:jc w:val="both"/>
        <w:rPr>
          <w:rFonts w:ascii="Times New Roman" w:hAnsi="Times New Roman"/>
          <w:sz w:val="24"/>
        </w:rPr>
      </w:pPr>
      <w:r>
        <w:rPr>
          <w:rFonts w:ascii="Times New Roman" w:hAnsi="Times New Roman"/>
          <w:sz w:val="24"/>
        </w:rPr>
        <w:t xml:space="preserve">javaslatokat </w:t>
      </w:r>
      <w:r>
        <w:rPr>
          <w:rFonts w:ascii="Times New Roman" w:hAnsi="Times New Roman"/>
          <w:sz w:val="24"/>
        </w:rPr>
        <w:t>fogalmazzon meg a nemzeti kockázatértékelés során azonosított kockázatok kezelésére kialakítandó, az érintett hatóságok és felügyeletet ellátó szervek hatáskörének megfelelő kockázatkezelési eljárások, esetleges módszertan(ok) elkészítéséhez;</w:t>
      </w:r>
    </w:p>
    <w:p w:rsidR="00035150" w:rsidRDefault="00437D26">
      <w:pPr>
        <w:pStyle w:val="Listaszerbekezds"/>
        <w:numPr>
          <w:ilvl w:val="0"/>
          <w:numId w:val="5"/>
        </w:numPr>
        <w:spacing w:after="0" w:line="100" w:lineRule="atLeast"/>
        <w:ind w:left="851"/>
        <w:contextualSpacing w:val="0"/>
        <w:jc w:val="both"/>
        <w:rPr>
          <w:rFonts w:ascii="Times New Roman" w:hAnsi="Times New Roman"/>
          <w:sz w:val="24"/>
        </w:rPr>
      </w:pPr>
      <w:r>
        <w:rPr>
          <w:rFonts w:ascii="Times New Roman" w:hAnsi="Times New Roman"/>
          <w:sz w:val="24"/>
        </w:rPr>
        <w:t>biztosítsa az</w:t>
      </w:r>
      <w:r>
        <w:rPr>
          <w:rFonts w:ascii="Times New Roman" w:hAnsi="Times New Roman"/>
          <w:sz w:val="24"/>
        </w:rPr>
        <w:t>on érintett hatóságok tájékoztatását, amelyek hatáskörében, feladatkörében a nemzeti kockázatértékelés kockázato(ka)t azonosított;</w:t>
      </w:r>
    </w:p>
    <w:p w:rsidR="00035150" w:rsidRDefault="00437D26">
      <w:pPr>
        <w:pStyle w:val="Listaszerbekezds"/>
        <w:numPr>
          <w:ilvl w:val="0"/>
          <w:numId w:val="5"/>
        </w:numPr>
        <w:spacing w:after="0" w:line="100" w:lineRule="atLeast"/>
        <w:ind w:left="851"/>
        <w:contextualSpacing w:val="0"/>
        <w:jc w:val="both"/>
        <w:rPr>
          <w:rFonts w:ascii="Times New Roman" w:hAnsi="Times New Roman"/>
          <w:sz w:val="24"/>
        </w:rPr>
      </w:pPr>
      <w:r>
        <w:rPr>
          <w:rFonts w:ascii="Times New Roman" w:hAnsi="Times New Roman"/>
          <w:sz w:val="24"/>
        </w:rPr>
        <w:t>biztosítsa a pénzügyi- és nem pénzügyi szolgáltatók a felügyeletet ellátó szervek által történő tájékoztatását a nemzeti kock</w:t>
      </w:r>
      <w:r>
        <w:rPr>
          <w:rFonts w:ascii="Times New Roman" w:hAnsi="Times New Roman"/>
          <w:sz w:val="24"/>
        </w:rPr>
        <w:t>ázatértékelés elkészültéről, az abban foglalt kockázatokról és annak eredményéről, hogy az érintettek – az abban foglaltak figyelembe vételével – elkészíthessék a saját kockázatelemzésüket.</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lastRenderedPageBreak/>
        <w:t xml:space="preserve">Az FATF, valamint azt az EU szintjén implementáló 4. pénzmosás és </w:t>
      </w:r>
      <w:r>
        <w:rPr>
          <w:rFonts w:ascii="Times New Roman" w:hAnsi="Times New Roman" w:cs="Times New Roman"/>
          <w:sz w:val="24"/>
        </w:rPr>
        <w:t>terrorizmus finanszírozása elleni irányelv a kockázatalapú megközelítésre</w:t>
      </w:r>
      <w:r>
        <w:rPr>
          <w:rStyle w:val="Lbjegyzet-horgony"/>
          <w:rFonts w:ascii="Times New Roman" w:hAnsi="Times New Roman" w:cs="Times New Roman"/>
          <w:sz w:val="24"/>
        </w:rPr>
        <w:footnoteReference w:id="9"/>
      </w:r>
      <w:r>
        <w:rPr>
          <w:rFonts w:ascii="Times New Roman" w:hAnsi="Times New Roman" w:cs="Times New Roman"/>
          <w:sz w:val="24"/>
        </w:rPr>
        <w:t xml:space="preserve"> (risk-based approach; RBA) épül, amit a kockázatkezelés különböző szintjeinek megfelelően szükséges figyelembe venni.</w:t>
      </w:r>
    </w:p>
    <w:p w:rsidR="00035150" w:rsidRDefault="00437D26">
      <w:pPr>
        <w:keepNext/>
        <w:spacing w:before="120" w:after="0" w:line="100" w:lineRule="atLeast"/>
        <w:jc w:val="both"/>
        <w:rPr>
          <w:rFonts w:ascii="Times New Roman" w:hAnsi="Times New Roman"/>
          <w:sz w:val="24"/>
          <w:u w:val="single"/>
        </w:rPr>
      </w:pPr>
      <w:r>
        <w:rPr>
          <w:rFonts w:ascii="Times New Roman" w:hAnsi="Times New Roman"/>
          <w:sz w:val="24"/>
          <w:u w:val="single"/>
        </w:rPr>
        <w:t>Kockázatkezelés szintjei:</w:t>
      </w:r>
    </w:p>
    <w:p w:rsidR="00035150" w:rsidRDefault="00437D26">
      <w:pPr>
        <w:suppressAutoHyphens w:val="0"/>
        <w:spacing w:after="0" w:line="100" w:lineRule="atLeast"/>
        <w:rPr>
          <w:rFonts w:ascii="Times New Roman" w:hAnsi="Times New Roman"/>
          <w:sz w:val="24"/>
        </w:rPr>
      </w:pPr>
      <w:r>
        <w:rPr>
          <w:rFonts w:ascii="Times New Roman" w:hAnsi="Times New Roman"/>
          <w:sz w:val="24"/>
        </w:rPr>
        <w:t>Az azonosított kockázatok kezelése Ma</w:t>
      </w:r>
      <w:r>
        <w:rPr>
          <w:rFonts w:ascii="Times New Roman" w:hAnsi="Times New Roman"/>
          <w:sz w:val="24"/>
        </w:rPr>
        <w:t>gyarországon három szinten valósul meg</w:t>
      </w:r>
      <w:r>
        <w:rPr>
          <w:rStyle w:val="Lbjegyzet-horgony"/>
          <w:rFonts w:ascii="Times New Roman" w:hAnsi="Times New Roman"/>
          <w:sz w:val="24"/>
        </w:rPr>
        <w:footnoteReference w:id="10"/>
      </w:r>
      <w:r>
        <w:rPr>
          <w:rFonts w:ascii="Times New Roman" w:hAnsi="Times New Roman"/>
          <w:sz w:val="24"/>
        </w:rPr>
        <w:t>:</w:t>
      </w:r>
    </w:p>
    <w:p w:rsidR="00035150" w:rsidRDefault="00437D26">
      <w:pPr>
        <w:pStyle w:val="Listaszerbekezds"/>
        <w:numPr>
          <w:ilvl w:val="0"/>
          <w:numId w:val="7"/>
        </w:numPr>
        <w:tabs>
          <w:tab w:val="left" w:pos="851"/>
        </w:tabs>
        <w:spacing w:after="0" w:line="100" w:lineRule="atLeast"/>
        <w:ind w:left="851"/>
        <w:contextualSpacing w:val="0"/>
        <w:jc w:val="both"/>
        <w:rPr>
          <w:rStyle w:val="Lbjegyzet-horgony"/>
          <w:rFonts w:ascii="Times New Roman" w:hAnsi="Times New Roman"/>
          <w:sz w:val="24"/>
        </w:rPr>
      </w:pPr>
      <w:r>
        <w:rPr>
          <w:rFonts w:ascii="Times New Roman" w:hAnsi="Times New Roman"/>
          <w:sz w:val="24"/>
        </w:rPr>
        <w:t>jogrendszer és intézményrendszer szintjén (pénzmosás és terrorizmus finanszírozás elleni jogrendszer hatálya);</w:t>
      </w:r>
      <w:r>
        <w:rPr>
          <w:rStyle w:val="Lbjegyzet-hivatkozs"/>
          <w:rFonts w:ascii="Times New Roman" w:hAnsi="Times New Roman"/>
          <w:sz w:val="24"/>
        </w:rPr>
        <w:t xml:space="preserve"> </w:t>
      </w:r>
      <w:r>
        <w:rPr>
          <w:rStyle w:val="Lbjegyzet-horgony"/>
          <w:rFonts w:ascii="Times New Roman" w:hAnsi="Times New Roman"/>
          <w:sz w:val="24"/>
        </w:rPr>
        <w:footnoteReference w:id="11"/>
      </w:r>
    </w:p>
    <w:p w:rsidR="00035150" w:rsidRDefault="00437D26">
      <w:pPr>
        <w:pStyle w:val="Listaszerbekezds"/>
        <w:numPr>
          <w:ilvl w:val="0"/>
          <w:numId w:val="7"/>
        </w:numPr>
        <w:tabs>
          <w:tab w:val="left" w:pos="851"/>
        </w:tabs>
        <w:spacing w:after="0" w:line="100" w:lineRule="atLeast"/>
        <w:ind w:left="851"/>
        <w:contextualSpacing w:val="0"/>
        <w:jc w:val="both"/>
        <w:rPr>
          <w:rFonts w:ascii="Times New Roman" w:hAnsi="Times New Roman"/>
          <w:sz w:val="24"/>
        </w:rPr>
      </w:pPr>
      <w:r>
        <w:rPr>
          <w:rFonts w:ascii="Times New Roman" w:hAnsi="Times New Roman"/>
          <w:sz w:val="24"/>
        </w:rPr>
        <w:t>a felügyeletet ellátó szervek szintjén;</w:t>
      </w:r>
    </w:p>
    <w:p w:rsidR="00035150" w:rsidRDefault="00437D26">
      <w:pPr>
        <w:pStyle w:val="Listaszerbekezds"/>
        <w:numPr>
          <w:ilvl w:val="0"/>
          <w:numId w:val="7"/>
        </w:numPr>
        <w:tabs>
          <w:tab w:val="left" w:pos="851"/>
        </w:tabs>
        <w:spacing w:after="0" w:line="100" w:lineRule="atLeast"/>
        <w:ind w:left="851" w:hanging="357"/>
        <w:contextualSpacing w:val="0"/>
        <w:jc w:val="both"/>
        <w:rPr>
          <w:rFonts w:ascii="Times New Roman" w:hAnsi="Times New Roman"/>
          <w:sz w:val="24"/>
        </w:rPr>
      </w:pPr>
      <w:r>
        <w:rPr>
          <w:rFonts w:ascii="Times New Roman" w:hAnsi="Times New Roman"/>
          <w:sz w:val="24"/>
        </w:rPr>
        <w:t xml:space="preserve">a Pmt. hatálya alá tartozó pénzügyi és nem pénzügyi </w:t>
      </w:r>
      <w:r>
        <w:rPr>
          <w:rFonts w:ascii="Times New Roman" w:hAnsi="Times New Roman"/>
          <w:sz w:val="24"/>
        </w:rPr>
        <w:t>szolgáltatók szintjén.</w:t>
      </w:r>
    </w:p>
    <w:p w:rsidR="00035150" w:rsidRDefault="00437D26">
      <w:pPr>
        <w:spacing w:before="120" w:after="0" w:line="100" w:lineRule="atLeast"/>
        <w:jc w:val="both"/>
        <w:rPr>
          <w:rFonts w:ascii="Times New Roman" w:hAnsi="Times New Roman" w:cs="Times New Roman"/>
          <w:sz w:val="24"/>
          <w:szCs w:val="24"/>
        </w:rPr>
      </w:pPr>
      <w:r>
        <w:rPr>
          <w:rFonts w:ascii="Times New Roman" w:hAnsi="Times New Roman" w:cs="Times New Roman"/>
          <w:sz w:val="24"/>
          <w:szCs w:val="24"/>
        </w:rPr>
        <w:t>1. Az első szinten a kockázatok elsősorban jogszabályalkotás útján kezelhetőek, ugyanakkor a célzott joghatás elérése érdekében egyéb kockázatkezelési technikák (erőforrások allokálása; módszertanok készítése; technikai fejlesztések;</w:t>
      </w:r>
      <w:r>
        <w:rPr>
          <w:rFonts w:ascii="Times New Roman" w:hAnsi="Times New Roman" w:cs="Times New Roman"/>
          <w:sz w:val="24"/>
          <w:szCs w:val="24"/>
        </w:rPr>
        <w:t xml:space="preserve"> tudatosság növelése; képzések; konzultációk biztosítása; stb.) alkalmazása is szükséges.</w:t>
      </w:r>
    </w:p>
    <w:p w:rsidR="00035150" w:rsidRDefault="00437D26">
      <w:pPr>
        <w:spacing w:before="120" w:after="0" w:line="100" w:lineRule="atLeast"/>
        <w:jc w:val="both"/>
        <w:rPr>
          <w:rFonts w:ascii="Times New Roman" w:hAnsi="Times New Roman" w:cs="Times New Roman"/>
          <w:sz w:val="24"/>
        </w:rPr>
      </w:pPr>
      <w:r>
        <w:rPr>
          <w:rFonts w:ascii="Times New Roman" w:hAnsi="Times New Roman" w:cs="Times New Roman"/>
          <w:sz w:val="24"/>
        </w:rPr>
        <w:t>2. A második szinten a felügyeletet ellátó szervek útmutatások révén, a későbbiekben akár a mintaszabályzatok megfelelő módosításával, átdolgozásával segítik a szolgá</w:t>
      </w:r>
      <w:r>
        <w:rPr>
          <w:rFonts w:ascii="Times New Roman" w:hAnsi="Times New Roman" w:cs="Times New Roman"/>
          <w:sz w:val="24"/>
        </w:rPr>
        <w:t>ltatókat, továbbá várhatóan képzéseket, oktatásokat tartanak a kockázatértékelés eredményéről. Így a Pmt. hatálya alá tartozó szolgáltatók jobban megismerhetik a kockázat alapú megközelítéssel kapcsolatos kötelezettségüket és a saját kockázatértékelésük el</w:t>
      </w:r>
      <w:r>
        <w:rPr>
          <w:rFonts w:ascii="Times New Roman" w:hAnsi="Times New Roman" w:cs="Times New Roman"/>
          <w:sz w:val="24"/>
        </w:rPr>
        <w:t>készítéséhez szükséges információk birtokába kerülhetnek.</w:t>
      </w:r>
    </w:p>
    <w:p w:rsidR="00035150" w:rsidRDefault="00437D26">
      <w:pPr>
        <w:spacing w:before="120" w:after="0" w:line="100" w:lineRule="atLeast"/>
        <w:jc w:val="both"/>
        <w:rPr>
          <w:rFonts w:ascii="Times New Roman" w:hAnsi="Times New Roman"/>
          <w:sz w:val="24"/>
        </w:rPr>
      </w:pPr>
      <w:r>
        <w:rPr>
          <w:rFonts w:ascii="Times New Roman" w:hAnsi="Times New Roman" w:cs="Times New Roman"/>
          <w:sz w:val="24"/>
        </w:rPr>
        <w:t>3. A harmadik szinten a Pmt. hatálya alá tartozó szolgáltatók azonosítják és kezelik a saját szektoruk specifikus kockázatait. A kockázatalapú megközelítésnek megfelelően a magas kockázatok esetén fokozott ügyfél-átvilágítást alkalmazhatnak, az ügyfelek te</w:t>
      </w:r>
      <w:r>
        <w:rPr>
          <w:rFonts w:ascii="Times New Roman" w:hAnsi="Times New Roman" w:cs="Times New Roman"/>
          <w:sz w:val="24"/>
        </w:rPr>
        <w:t xml:space="preserve">vékenységét, profilját folyamatosan ellenőrzik monitoring keretében. A nemzetközi követelményeknek megfelelően </w:t>
      </w:r>
      <w:r>
        <w:rPr>
          <w:rFonts w:ascii="Times New Roman" w:hAnsi="Times New Roman"/>
          <w:sz w:val="24"/>
        </w:rPr>
        <w:t>a i szolgáltatók kötelesek kialakítani a saját belső kockázataikat figyelembe vevő és azok kezelésére alkalmas kockázatlapú eljárásaikat.</w:t>
      </w:r>
    </w:p>
    <w:sectPr w:rsidR="00035150">
      <w:footerReference w:type="default" r:id="rId8"/>
      <w:pgSz w:w="11906" w:h="16838"/>
      <w:pgMar w:top="1134" w:right="1134" w:bottom="1134" w:left="1134" w:header="0" w:footer="554"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7D26">
      <w:pPr>
        <w:spacing w:after="0" w:line="240" w:lineRule="auto"/>
      </w:pPr>
      <w:r>
        <w:separator/>
      </w:r>
    </w:p>
  </w:endnote>
  <w:endnote w:type="continuationSeparator" w:id="0">
    <w:p w:rsidR="00000000" w:rsidRDefault="0043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50" w:rsidRDefault="00437D26">
    <w:pPr>
      <w:pStyle w:val="llb"/>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50" w:rsidRDefault="00437D26">
      <w:r>
        <w:separator/>
      </w:r>
    </w:p>
  </w:footnote>
  <w:footnote w:type="continuationSeparator" w:id="0">
    <w:p w:rsidR="00035150" w:rsidRDefault="00437D26">
      <w:r>
        <w:continuationSeparator/>
      </w:r>
    </w:p>
  </w:footnote>
  <w:footnote w:id="1">
    <w:p w:rsidR="00035150" w:rsidRDefault="00437D26">
      <w:pPr>
        <w:pStyle w:val="Lbjegyzetszveg"/>
        <w:jc w:val="both"/>
        <w:rPr>
          <w:rFonts w:ascii="Times New Roman" w:eastAsia="Times New Roman" w:hAnsi="Times New Roman"/>
          <w:color w:val="000000"/>
          <w:lang w:eastAsia="hu-HU"/>
        </w:rPr>
      </w:pPr>
      <w:r>
        <w:rPr>
          <w:rStyle w:val="Lbjegyzet-hivatkozs"/>
          <w:rFonts w:ascii="Times New Roman" w:hAnsi="Times New Roman"/>
        </w:rPr>
        <w:footnoteRef/>
      </w:r>
      <w:r>
        <w:rPr>
          <w:rStyle w:val="Lbjegyzet-hivatkozs"/>
          <w:rFonts w:ascii="Times New Roman" w:hAnsi="Times New Roman"/>
        </w:rPr>
        <w:tab/>
      </w:r>
      <w:r>
        <w:rPr>
          <w:rFonts w:ascii="Times New Roman" w:eastAsia="Times New Roman" w:hAnsi="Times New Roman"/>
          <w:lang w:eastAsia="hu-HU"/>
        </w:rPr>
        <w:t xml:space="preserve"> Pénzügyi Akciócsoport (Financial Action Task Force, FATF), </w:t>
      </w:r>
      <w:r>
        <w:rPr>
          <w:rFonts w:ascii="Times New Roman" w:eastAsia="Times New Roman" w:hAnsi="Times New Roman"/>
          <w:color w:val="000000"/>
          <w:lang w:eastAsia="hu-HU"/>
        </w:rPr>
        <w:t>a pénzmosás és terrorizmus finanszírozása elleni nemzetk</w:t>
      </w:r>
      <w:r>
        <w:rPr>
          <w:rFonts w:ascii="Times New Roman" w:eastAsia="Times New Roman" w:hAnsi="Times New Roman"/>
          <w:color w:val="000000"/>
          <w:lang w:eastAsia="hu-HU"/>
        </w:rPr>
        <w:t>özi küzdelem terén a globális sztenderdalkotó.</w:t>
      </w:r>
    </w:p>
  </w:footnote>
  <w:footnote w:id="2">
    <w:p w:rsidR="00035150" w:rsidRDefault="00437D26">
      <w:pPr>
        <w:pStyle w:val="Lbjegyzetszveg"/>
        <w:jc w:val="both"/>
        <w:rPr>
          <w:rFonts w:ascii="Times New Roman" w:hAnsi="Times New Roman"/>
        </w:rPr>
      </w:pPr>
      <w:r>
        <w:rPr>
          <w:rStyle w:val="Lbjegyzet-hivatkozs"/>
          <w:rFonts w:ascii="Times New Roman" w:hAnsi="Times New Roman"/>
        </w:rPr>
        <w:footnoteRef/>
      </w:r>
      <w:r>
        <w:rPr>
          <w:rStyle w:val="Lbjegyzet-hivatkozs"/>
          <w:rFonts w:ascii="Times New Roman" w:hAnsi="Times New Roman"/>
        </w:rPr>
        <w:tab/>
      </w:r>
      <w:r>
        <w:rPr>
          <w:rFonts w:ascii="Times New Roman" w:hAnsi="Times New Roman"/>
        </w:rPr>
        <w:t xml:space="preserve"> Az új módszertan a technikai megfelelőséget, illetve a hatékonyságot vizsgálja. (2013. február)</w:t>
      </w:r>
    </w:p>
  </w:footnote>
  <w:footnote w:id="3">
    <w:p w:rsidR="00035150" w:rsidRDefault="00437D26">
      <w:pPr>
        <w:pStyle w:val="Lbjegyzetszveg"/>
        <w:jc w:val="both"/>
        <w:rPr>
          <w:rFonts w:ascii="Times New Roman" w:hAnsi="Times New Roman"/>
        </w:rPr>
      </w:pPr>
      <w:r>
        <w:rPr>
          <w:rStyle w:val="Lbjegyzet-hivatkozs"/>
          <w:rFonts w:ascii="Times New Roman" w:hAnsi="Times New Roman"/>
        </w:rPr>
        <w:footnoteRef/>
      </w:r>
      <w:r>
        <w:rPr>
          <w:rStyle w:val="Lbjegyzet-hivatkozs"/>
          <w:rFonts w:ascii="Times New Roman" w:hAnsi="Times New Roman"/>
        </w:rPr>
        <w:tab/>
      </w:r>
      <w:r>
        <w:rPr>
          <w:rFonts w:ascii="Times New Roman" w:hAnsi="Times New Roman"/>
        </w:rPr>
        <w:t xml:space="preserve"> Az Európai Parlament és a Tanács (EU) 2015/849 irányelve (2015. május 20.) a pénzügyi rendszerek pénzmosás </w:t>
      </w:r>
      <w:r>
        <w:rPr>
          <w:rFonts w:ascii="Times New Roman" w:hAnsi="Times New Roman"/>
        </w:rPr>
        <w:t>vagy terrorizmusfinanszírozás céljára való felhasználásának megelőzéséről, a 648/2012/EU európai parlamenti és tanácsi rendelet módosításáról, valamint a 2005/60/EK európai parlamenti és tanácsi irányelv és a 2006/70/EK bizottsági irányelv hatályon kívül h</w:t>
      </w:r>
      <w:r>
        <w:rPr>
          <w:rFonts w:ascii="Times New Roman" w:hAnsi="Times New Roman"/>
        </w:rPr>
        <w:t>elyezéséről.</w:t>
      </w:r>
    </w:p>
  </w:footnote>
  <w:footnote w:id="4">
    <w:p w:rsidR="00035150" w:rsidRDefault="00437D26">
      <w:pPr>
        <w:pStyle w:val="Lbjegyzetszveg"/>
        <w:rPr>
          <w:rFonts w:ascii="Times New Roman" w:hAnsi="Times New Roman" w:cs="Times New Roman"/>
          <w:color w:val="000000"/>
          <w:lang w:eastAsia="hi-IN" w:bidi="hi-IN"/>
        </w:rPr>
      </w:pPr>
      <w:r>
        <w:rPr>
          <w:rStyle w:val="Lbjegyzet-hivatkozs"/>
          <w:rFonts w:ascii="Times New Roman" w:hAnsi="Times New Roman" w:cs="Times New Roman"/>
        </w:rPr>
        <w:footnoteRef/>
      </w:r>
      <w:r>
        <w:rPr>
          <w:rStyle w:val="Lbjegyzet-hivatkozs"/>
          <w:rFonts w:ascii="Times New Roman" w:hAnsi="Times New Roman" w:cs="Times New Roman"/>
        </w:rPr>
        <w:tab/>
        <w:t xml:space="preserve"> </w:t>
      </w:r>
      <w:r>
        <w:rPr>
          <w:rFonts w:ascii="Times New Roman" w:hAnsi="Times New Roman" w:cs="Times New Roman"/>
          <w:color w:val="000000"/>
          <w:lang w:eastAsia="hi-IN" w:bidi="hi-IN"/>
        </w:rPr>
        <w:t>A pénzmosás és a terrorizmus finanszírozása megelőzéséről és megakadályozásáról szóló 2007. évi CXXXVI. törvény</w:t>
      </w:r>
    </w:p>
  </w:footnote>
  <w:footnote w:id="5">
    <w:p w:rsidR="00035150" w:rsidRDefault="00437D26">
      <w:pPr>
        <w:pStyle w:val="Lbjegyzetszveg"/>
        <w:rPr>
          <w:rFonts w:ascii="Times New Roman" w:eastAsia="Calibri" w:hAnsi="Times New Roman" w:cs="Times New Roman"/>
        </w:rPr>
      </w:pPr>
      <w:r>
        <w:rPr>
          <w:rStyle w:val="Lbjegyzet-hivatkozs"/>
          <w:rFonts w:ascii="Times New Roman" w:hAnsi="Times New Roman" w:cs="Times New Roman"/>
        </w:rPr>
        <w:footnoteRef/>
      </w:r>
      <w:r>
        <w:rPr>
          <w:rStyle w:val="Lbjegyzet-hivatkozs"/>
          <w:rFonts w:ascii="Times New Roman" w:hAnsi="Times New Roman" w:cs="Times New Roman"/>
        </w:rPr>
        <w:tab/>
        <w:t xml:space="preserve"> </w:t>
      </w:r>
      <w:r>
        <w:rPr>
          <w:rFonts w:ascii="Times New Roman" w:eastAsia="Calibri" w:hAnsi="Times New Roman" w:cs="Times New Roman"/>
        </w:rPr>
        <w:t>Készpénz határon történő ellenőrzés tekintetében</w:t>
      </w:r>
    </w:p>
  </w:footnote>
  <w:footnote w:id="6">
    <w:p w:rsidR="00035150" w:rsidRDefault="00437D26">
      <w:pPr>
        <w:pStyle w:val="Lbjegyzetszveg"/>
        <w:rPr>
          <w:rStyle w:val="Internet-hivatkozs"/>
          <w:rFonts w:ascii="Times New Roman" w:hAnsi="Times New Roman" w:cs="Times New Roman"/>
        </w:rPr>
      </w:pPr>
      <w:r>
        <w:rPr>
          <w:rStyle w:val="Lbjegyzet-hivatkozs"/>
          <w:rFonts w:ascii="Times New Roman" w:hAnsi="Times New Roman" w:cs="Times New Roman"/>
        </w:rPr>
        <w:footnoteRef/>
      </w:r>
      <w:r>
        <w:rPr>
          <w:rStyle w:val="Lbjegyzet-hivatkozs"/>
          <w:rFonts w:ascii="Times New Roman" w:hAnsi="Times New Roman" w:cs="Times New Roman"/>
        </w:rPr>
        <w:tab/>
        <w:t xml:space="preserve"> </w:t>
      </w:r>
      <w:hyperlink r:id="rId1">
        <w:r>
          <w:rPr>
            <w:rStyle w:val="Internet-hivatkozs"/>
            <w:rFonts w:ascii="Times New Roman" w:hAnsi="Times New Roman" w:cs="Times New Roman"/>
          </w:rPr>
          <w:t>http://www.fatf-gafi.org/media/fatf/content/images/National_ML_TF_Risk_Assessment.pdf</w:t>
        </w:r>
      </w:hyperlink>
    </w:p>
  </w:footnote>
  <w:footnote w:id="7">
    <w:p w:rsidR="00035150" w:rsidRDefault="00437D26">
      <w:pPr>
        <w:pStyle w:val="Lbjegyzetszveg"/>
        <w:rPr>
          <w:rStyle w:val="Internet-hivatkozs"/>
          <w:rFonts w:ascii="Times New Roman" w:hAnsi="Times New Roman" w:cs="Times New Roman"/>
        </w:rPr>
      </w:pPr>
      <w:r>
        <w:rPr>
          <w:rStyle w:val="Lbjegyzet-hivatkozs"/>
          <w:rFonts w:ascii="Times New Roman" w:hAnsi="Times New Roman" w:cs="Times New Roman"/>
        </w:rPr>
        <w:footnoteRef/>
      </w:r>
      <w:r>
        <w:rPr>
          <w:rStyle w:val="Lbjegyzet-hivatkozs"/>
          <w:rFonts w:ascii="Times New Roman" w:hAnsi="Times New Roman" w:cs="Times New Roman"/>
        </w:rPr>
        <w:tab/>
      </w:r>
      <w:r>
        <w:t xml:space="preserve"> </w:t>
      </w:r>
      <w:hyperlink r:id="rId2">
        <w:r>
          <w:rPr>
            <w:rStyle w:val="Internet-hivatkozs"/>
            <w:rFonts w:ascii="Times New Roman" w:hAnsi="Times New Roman" w:cs="Times New Roman"/>
          </w:rPr>
          <w:t>http://www.fatf-gafi.org/media/</w:t>
        </w:r>
        <w:r>
          <w:rPr>
            <w:rStyle w:val="Internet-hivatkozs"/>
            <w:rFonts w:ascii="Times New Roman" w:hAnsi="Times New Roman" w:cs="Times New Roman"/>
          </w:rPr>
          <w:t>fatf/documents/reports/risk_assessment_world_bank.pdf</w:t>
        </w:r>
      </w:hyperlink>
    </w:p>
  </w:footnote>
  <w:footnote w:id="8">
    <w:p w:rsidR="00035150" w:rsidRDefault="00437D26">
      <w:pPr>
        <w:pageBreakBefore/>
        <w:tabs>
          <w:tab w:val="left" w:pos="709"/>
        </w:tabs>
        <w:spacing w:after="0" w:line="100" w:lineRule="atLeast"/>
        <w:jc w:val="both"/>
        <w:rPr>
          <w:rFonts w:ascii="Times New Roman" w:eastAsia="Times New Roman" w:hAnsi="Times New Roman" w:cs="Times New Roman"/>
          <w:sz w:val="20"/>
          <w:szCs w:val="20"/>
          <w:lang w:eastAsia="hu-HU"/>
        </w:rPr>
      </w:pPr>
      <w:r>
        <w:rPr>
          <w:rStyle w:val="Lbjegyzet-hivatkozs"/>
          <w:rFonts w:ascii="Times New Roman" w:hAnsi="Times New Roman" w:cs="Times New Roman"/>
          <w:sz w:val="20"/>
          <w:szCs w:val="20"/>
        </w:rPr>
        <w:footnoteRef/>
      </w:r>
      <w:r>
        <w:rPr>
          <w:rStyle w:val="Lbjegyzet-hivatkozs"/>
          <w:rFonts w:ascii="Times New Roman" w:hAnsi="Times New Roman" w:cs="Times New Roman"/>
          <w:sz w:val="20"/>
          <w:szCs w:val="20"/>
        </w:rPr>
        <w:tab/>
      </w:r>
      <w:r>
        <w:rPr>
          <w:rFonts w:ascii="Times New Roman" w:eastAsia="Times New Roman" w:hAnsi="Times New Roman" w:cs="Times New Roman"/>
          <w:i/>
          <w:iCs/>
          <w:sz w:val="20"/>
          <w:szCs w:val="20"/>
          <w:lang w:eastAsia="hu-HU"/>
        </w:rPr>
        <w:t xml:space="preserve"> fenyegetés (threat</w:t>
      </w:r>
      <w:r>
        <w:rPr>
          <w:rFonts w:ascii="Times New Roman" w:eastAsia="Times New Roman" w:hAnsi="Times New Roman" w:cs="Times New Roman"/>
          <w:sz w:val="20"/>
          <w:szCs w:val="20"/>
          <w:lang w:eastAsia="hu-HU"/>
        </w:rPr>
        <w:t>): egy személy, csoport, tárgy vagy tevékenység, amely kárt okoz az államnak, társadalomnak, gazdaságnak, egyes szektoroknak stb. Ez alatt jelen esetben bűnözök, terrorista csoportok, azokat segítő tényezők, pénzeszközök, múltbeli vagy jövőbeni bűnözői tev</w:t>
      </w:r>
      <w:r>
        <w:rPr>
          <w:rFonts w:ascii="Times New Roman" w:eastAsia="Times New Roman" w:hAnsi="Times New Roman" w:cs="Times New Roman"/>
          <w:sz w:val="20"/>
          <w:szCs w:val="20"/>
          <w:lang w:eastAsia="hu-HU"/>
        </w:rPr>
        <w:t xml:space="preserve">ékenység, stb. értendőek </w:t>
      </w:r>
      <w:r>
        <w:rPr>
          <w:rFonts w:ascii="Times New Roman" w:eastAsia="Times New Roman" w:hAnsi="Times New Roman" w:cs="Times New Roman"/>
          <w:i/>
          <w:iCs/>
          <w:sz w:val="20"/>
          <w:szCs w:val="20"/>
          <w:lang w:eastAsia="hu-HU"/>
        </w:rPr>
        <w:tab/>
        <w:t>sérülékenység (vulnerability</w:t>
      </w:r>
      <w:r>
        <w:rPr>
          <w:rFonts w:ascii="Times New Roman" w:eastAsia="Times New Roman" w:hAnsi="Times New Roman" w:cs="Times New Roman"/>
          <w:sz w:val="20"/>
          <w:szCs w:val="20"/>
          <w:lang w:eastAsia="hu-HU"/>
        </w:rPr>
        <w:t>): azon dolgok, amelyekben kárt tehet, és amelyeket ki tud használni a fenyegetés (pl. olyan faktorok, amelyek gyengeséget, hiányosságokat jelentenek a rendszerben vagy ellenőrzésben. Ez lehet jogszabál</w:t>
      </w:r>
      <w:r>
        <w:rPr>
          <w:rFonts w:ascii="Times New Roman" w:eastAsia="Times New Roman" w:hAnsi="Times New Roman" w:cs="Times New Roman"/>
          <w:sz w:val="20"/>
          <w:szCs w:val="20"/>
          <w:lang w:eastAsia="hu-HU"/>
        </w:rPr>
        <w:t>y, vagy egy adott szektor, termék vagy szolgáltatás egy-egy jellemzője, eleme).</w:t>
      </w:r>
    </w:p>
  </w:footnote>
  <w:footnote w:id="9">
    <w:p w:rsidR="00035150" w:rsidRDefault="00437D26">
      <w:pPr>
        <w:pStyle w:val="Lbjegyzetszveg"/>
        <w:pageBreakBefore/>
        <w:jc w:val="both"/>
        <w:rPr>
          <w:rFonts w:ascii="Times New Roman" w:hAnsi="Times New Roman" w:cs="Times New Roman"/>
        </w:rPr>
      </w:pPr>
      <w:r>
        <w:rPr>
          <w:rStyle w:val="Lbjegyzet-hivatkozs"/>
          <w:rFonts w:ascii="Times New Roman" w:hAnsi="Times New Roman" w:cs="Times New Roman"/>
        </w:rPr>
        <w:footnoteRef/>
      </w:r>
      <w:r>
        <w:rPr>
          <w:rStyle w:val="Lbjegyzet-hivatkozs"/>
          <w:rFonts w:ascii="Times New Roman" w:hAnsi="Times New Roman" w:cs="Times New Roman"/>
        </w:rPr>
        <w:tab/>
      </w:r>
      <w:r>
        <w:rPr>
          <w:rFonts w:ascii="Times New Roman" w:hAnsi="Times New Roman" w:cs="Times New Roman"/>
        </w:rPr>
        <w:t xml:space="preserve"> Az FATF ajánlása az RBA kötelezettségét írja elő, mert azzal biztosítható a leghatékonyabban az azonosított kockázatok megfelelő kezelése. Továbbá a pénzmosás elleni 4. irán</w:t>
      </w:r>
      <w:r>
        <w:rPr>
          <w:rFonts w:ascii="Times New Roman" w:hAnsi="Times New Roman" w:cs="Times New Roman"/>
        </w:rPr>
        <w:t>yelv szerint a kockázatok nem minden esetben ugyanolyan mértékűek, ezért teljes körű és tényeken alapuló, célzott RBA-t kell alkalmazni a kockázatok célzottabb kezelése érdekében. A kockázatalapú megközelítés nem tekintendő a tagállamok és a kötelezett szo</w:t>
      </w:r>
      <w:r>
        <w:rPr>
          <w:rFonts w:ascii="Times New Roman" w:hAnsi="Times New Roman" w:cs="Times New Roman"/>
        </w:rPr>
        <w:t>lgáltatók részére biztosított, túlzottan megengedő lehetőségnek – sokkal inkább a tényeken alapuló döntéshozatal alkalmazását jelenti.</w:t>
      </w:r>
    </w:p>
  </w:footnote>
  <w:footnote w:id="10">
    <w:p w:rsidR="00035150" w:rsidRDefault="00437D26">
      <w:pPr>
        <w:pStyle w:val="Lbjegyzetszveg"/>
        <w:pageBreakBefore/>
        <w:rPr>
          <w:rFonts w:ascii="Times New Roman" w:hAnsi="Times New Roman" w:cs="Times New Roman"/>
        </w:rPr>
      </w:pPr>
      <w:r>
        <w:rPr>
          <w:rStyle w:val="Lbjegyzet-hivatkozs"/>
        </w:rPr>
        <w:footnoteRef/>
      </w:r>
      <w:r>
        <w:rPr>
          <w:rStyle w:val="Lbjegyzet-hivatkozs"/>
        </w:rPr>
        <w:tab/>
      </w:r>
      <w:r>
        <w:t xml:space="preserve"> </w:t>
      </w:r>
      <w:r>
        <w:rPr>
          <w:rFonts w:ascii="Times New Roman" w:hAnsi="Times New Roman" w:cs="Times New Roman"/>
        </w:rPr>
        <w:t>Az EU egységes belső piacára tekintettel azonban, FATF sztenderdjei is figyelembe veszi ugyanakkor, hogy egyes kockáza</w:t>
      </w:r>
      <w:r>
        <w:rPr>
          <w:rFonts w:ascii="Times New Roman" w:hAnsi="Times New Roman" w:cs="Times New Roman"/>
        </w:rPr>
        <w:t>tok nem csak nemzeti szinten jelentkeznek és kezelésük nemzetek feletti szinten is szükséges lehet.</w:t>
      </w:r>
    </w:p>
  </w:footnote>
  <w:footnote w:id="11">
    <w:p w:rsidR="00035150" w:rsidRDefault="00437D26">
      <w:pPr>
        <w:pStyle w:val="Lbjegyzetszveg"/>
        <w:pageBreakBefore/>
        <w:jc w:val="both"/>
        <w:rPr>
          <w:rFonts w:ascii="Times New Roman" w:hAnsi="Times New Roman" w:cs="Times New Roman"/>
        </w:rPr>
      </w:pPr>
      <w:r>
        <w:rPr>
          <w:rStyle w:val="Lbjegyzet-hivatkozs"/>
          <w:rFonts w:ascii="Times New Roman" w:hAnsi="Times New Roman" w:cs="Times New Roman"/>
        </w:rPr>
        <w:footnoteRef/>
      </w:r>
      <w:r>
        <w:rPr>
          <w:rStyle w:val="Lbjegyzet-hivatkozs"/>
          <w:rFonts w:ascii="Times New Roman" w:hAnsi="Times New Roman" w:cs="Times New Roman"/>
        </w:rPr>
        <w:tab/>
        <w:t xml:space="preserve"> </w:t>
      </w:r>
      <w:r>
        <w:rPr>
          <w:rFonts w:ascii="Times New Roman" w:hAnsi="Times New Roman" w:cs="Times New Roman"/>
        </w:rPr>
        <w:t>Az 1. szinten végrehajtott kockázatkezelés közvetlen és közvetett hatást fejt ki a 2. és a 3. kockázatkezelési szintre.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EC7"/>
    <w:multiLevelType w:val="multilevel"/>
    <w:tmpl w:val="D688DBEE"/>
    <w:lvl w:ilvl="0">
      <w:start w:val="1"/>
      <w:numFmt w:val="decimal"/>
      <w:lvlText w:val="%1."/>
      <w:lvlJc w:val="left"/>
      <w:pPr>
        <w:ind w:left="2868" w:hanging="360"/>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1">
    <w:nsid w:val="48C145EF"/>
    <w:multiLevelType w:val="multilevel"/>
    <w:tmpl w:val="49B2A9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3C4F6C"/>
    <w:multiLevelType w:val="multilevel"/>
    <w:tmpl w:val="56D23F8A"/>
    <w:lvl w:ilvl="0">
      <w:start w:val="1"/>
      <w:numFmt w:val="decimal"/>
      <w:lvlText w:val="%1."/>
      <w:lvlJc w:val="left"/>
      <w:pPr>
        <w:ind w:left="1192" w:hanging="360"/>
      </w:pPr>
      <w:rPr>
        <w:position w:val="0"/>
        <w:sz w:val="24"/>
        <w:szCs w:val="24"/>
        <w:vertAlign w:val="baseline"/>
      </w:rPr>
    </w:lvl>
    <w:lvl w:ilvl="1">
      <w:start w:val="1"/>
      <w:numFmt w:val="lowerLetter"/>
      <w:lvlText w:val="%2."/>
      <w:lvlJc w:val="left"/>
      <w:pPr>
        <w:ind w:left="1912" w:hanging="360"/>
      </w:pPr>
    </w:lvl>
    <w:lvl w:ilvl="2">
      <w:start w:val="1"/>
      <w:numFmt w:val="lowerRoman"/>
      <w:lvlText w:val="%3."/>
      <w:lvlJc w:val="right"/>
      <w:pPr>
        <w:ind w:left="2632" w:hanging="180"/>
      </w:pPr>
    </w:lvl>
    <w:lvl w:ilvl="3">
      <w:start w:val="1"/>
      <w:numFmt w:val="decimal"/>
      <w:lvlText w:val="%4."/>
      <w:lvlJc w:val="left"/>
      <w:pPr>
        <w:ind w:left="3352" w:hanging="360"/>
      </w:pPr>
    </w:lvl>
    <w:lvl w:ilvl="4">
      <w:start w:val="1"/>
      <w:numFmt w:val="lowerLetter"/>
      <w:lvlText w:val="%5."/>
      <w:lvlJc w:val="left"/>
      <w:pPr>
        <w:ind w:left="4072" w:hanging="360"/>
      </w:pPr>
    </w:lvl>
    <w:lvl w:ilvl="5">
      <w:start w:val="1"/>
      <w:numFmt w:val="lowerRoman"/>
      <w:lvlText w:val="%6."/>
      <w:lvlJc w:val="right"/>
      <w:pPr>
        <w:ind w:left="4792" w:hanging="180"/>
      </w:pPr>
    </w:lvl>
    <w:lvl w:ilvl="6">
      <w:start w:val="1"/>
      <w:numFmt w:val="decimal"/>
      <w:lvlText w:val="%7."/>
      <w:lvlJc w:val="left"/>
      <w:pPr>
        <w:ind w:left="5512" w:hanging="360"/>
      </w:pPr>
    </w:lvl>
    <w:lvl w:ilvl="7">
      <w:start w:val="1"/>
      <w:numFmt w:val="lowerLetter"/>
      <w:lvlText w:val="%8."/>
      <w:lvlJc w:val="left"/>
      <w:pPr>
        <w:ind w:left="6232" w:hanging="360"/>
      </w:pPr>
    </w:lvl>
    <w:lvl w:ilvl="8">
      <w:start w:val="1"/>
      <w:numFmt w:val="lowerRoman"/>
      <w:lvlText w:val="%9."/>
      <w:lvlJc w:val="right"/>
      <w:pPr>
        <w:ind w:left="6952" w:hanging="180"/>
      </w:pPr>
    </w:lvl>
  </w:abstractNum>
  <w:abstractNum w:abstractNumId="3">
    <w:nsid w:val="608D4B94"/>
    <w:multiLevelType w:val="multilevel"/>
    <w:tmpl w:val="625275E8"/>
    <w:lvl w:ilvl="0">
      <w:start w:val="1"/>
      <w:numFmt w:val="bullet"/>
      <w:lvlText w:val="-"/>
      <w:lvlJc w:val="left"/>
      <w:pPr>
        <w:ind w:left="783" w:hanging="360"/>
      </w:pPr>
      <w:rPr>
        <w:rFonts w:ascii="Times New Roman" w:hAnsi="Times New Roman" w:cs="Times New Roman"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nsid w:val="61BA6C5E"/>
    <w:multiLevelType w:val="multilevel"/>
    <w:tmpl w:val="60D2EC4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64D6053"/>
    <w:multiLevelType w:val="multilevel"/>
    <w:tmpl w:val="5414FF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946420A"/>
    <w:multiLevelType w:val="multilevel"/>
    <w:tmpl w:val="98FED19C"/>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3E78B6"/>
    <w:multiLevelType w:val="multilevel"/>
    <w:tmpl w:val="521094E6"/>
    <w:lvl w:ilvl="0">
      <w:start w:val="1"/>
      <w:numFmt w:val="decimal"/>
      <w:lvlText w:val="%1."/>
      <w:lvlJc w:val="left"/>
      <w:pPr>
        <w:ind w:left="1192" w:hanging="360"/>
      </w:pPr>
      <w:rPr>
        <w:position w:val="0"/>
        <w:sz w:val="24"/>
        <w:szCs w:val="24"/>
        <w:vertAlign w:val="baseline"/>
      </w:rPr>
    </w:lvl>
    <w:lvl w:ilvl="1">
      <w:start w:val="1"/>
      <w:numFmt w:val="lowerLetter"/>
      <w:lvlText w:val="%2."/>
      <w:lvlJc w:val="left"/>
      <w:pPr>
        <w:ind w:left="1912" w:hanging="360"/>
      </w:pPr>
    </w:lvl>
    <w:lvl w:ilvl="2">
      <w:start w:val="1"/>
      <w:numFmt w:val="lowerRoman"/>
      <w:lvlText w:val="%3."/>
      <w:lvlJc w:val="right"/>
      <w:pPr>
        <w:ind w:left="2632" w:hanging="180"/>
      </w:pPr>
    </w:lvl>
    <w:lvl w:ilvl="3">
      <w:start w:val="1"/>
      <w:numFmt w:val="decimal"/>
      <w:lvlText w:val="%4."/>
      <w:lvlJc w:val="left"/>
      <w:pPr>
        <w:ind w:left="3352" w:hanging="360"/>
      </w:pPr>
    </w:lvl>
    <w:lvl w:ilvl="4">
      <w:start w:val="1"/>
      <w:numFmt w:val="lowerLetter"/>
      <w:lvlText w:val="%5."/>
      <w:lvlJc w:val="left"/>
      <w:pPr>
        <w:ind w:left="4072" w:hanging="360"/>
      </w:pPr>
    </w:lvl>
    <w:lvl w:ilvl="5">
      <w:start w:val="1"/>
      <w:numFmt w:val="lowerRoman"/>
      <w:lvlText w:val="%6."/>
      <w:lvlJc w:val="right"/>
      <w:pPr>
        <w:ind w:left="4792" w:hanging="180"/>
      </w:pPr>
    </w:lvl>
    <w:lvl w:ilvl="6">
      <w:start w:val="1"/>
      <w:numFmt w:val="decimal"/>
      <w:lvlText w:val="%7."/>
      <w:lvlJc w:val="left"/>
      <w:pPr>
        <w:ind w:left="5512" w:hanging="360"/>
      </w:pPr>
    </w:lvl>
    <w:lvl w:ilvl="7">
      <w:start w:val="1"/>
      <w:numFmt w:val="lowerLetter"/>
      <w:lvlText w:val="%8."/>
      <w:lvlJc w:val="left"/>
      <w:pPr>
        <w:ind w:left="6232" w:hanging="360"/>
      </w:pPr>
    </w:lvl>
    <w:lvl w:ilvl="8">
      <w:start w:val="1"/>
      <w:numFmt w:val="lowerRoman"/>
      <w:lvlText w:val="%9."/>
      <w:lvlJc w:val="right"/>
      <w:pPr>
        <w:ind w:left="6952"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50"/>
    <w:rsid w:val="00035150"/>
    <w:rsid w:val="00437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rPr>
      <w:rFonts w:ascii="Calibri" w:eastAsia="SimSun" w:hAnsi="Calibri"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basedOn w:val="Bekezdsalapbettpusa"/>
  </w:style>
  <w:style w:type="character" w:customStyle="1" w:styleId="LbjegyzetszvegChar">
    <w:name w:val="Lábjegyzetszöveg Char"/>
    <w:basedOn w:val="Bekezdsalapbettpusa"/>
    <w:rPr>
      <w:sz w:val="20"/>
      <w:szCs w:val="20"/>
    </w:rPr>
  </w:style>
  <w:style w:type="character" w:styleId="Lbjegyzet-hivatkozs">
    <w:name w:val="footnote reference"/>
    <w:basedOn w:val="Bekezdsalapbettpusa"/>
    <w:rPr>
      <w:vertAlign w:val="superscript"/>
    </w:rPr>
  </w:style>
  <w:style w:type="character" w:customStyle="1" w:styleId="Internet-hivatkozs">
    <w:name w:val="Internet-hivatkozás"/>
    <w:basedOn w:val="Bekezdsalapbettpusa"/>
    <w:rPr>
      <w:color w:val="0000FF"/>
      <w:u w:val="single"/>
    </w:rPr>
  </w:style>
  <w:style w:type="character" w:customStyle="1" w:styleId="BuborkszvegChar">
    <w:name w:val="Buborékszöveg Char"/>
    <w:basedOn w:val="Bekezdsalapbettpusa"/>
    <w:rPr>
      <w:rFonts w:ascii="Tahoma" w:hAnsi="Tahoma" w:cs="Tahoma"/>
      <w:sz w:val="16"/>
      <w:szCs w:val="16"/>
    </w:rPr>
  </w:style>
  <w:style w:type="character" w:styleId="Jegyzethivatkozs">
    <w:name w:val="annotation reference"/>
    <w:basedOn w:val="Bekezdsalapbettpusa"/>
    <w:rPr>
      <w:sz w:val="16"/>
      <w:szCs w:val="16"/>
    </w:rPr>
  </w:style>
  <w:style w:type="character" w:customStyle="1" w:styleId="JegyzetszvegChar">
    <w:name w:val="Jegyzetszöveg Char"/>
    <w:basedOn w:val="Bekezdsalapbettpusa"/>
    <w:rPr>
      <w:sz w:val="20"/>
      <w:szCs w:val="20"/>
    </w:rPr>
  </w:style>
  <w:style w:type="character" w:customStyle="1" w:styleId="MegjegyzstrgyaChar">
    <w:name w:val="Megjegyzés tárgya Char"/>
    <w:basedOn w:val="JegyzetszvegChar"/>
    <w:rPr>
      <w:b/>
      <w:bCs/>
      <w:sz w:val="20"/>
      <w:szCs w:val="20"/>
    </w:rPr>
  </w:style>
  <w:style w:type="character" w:styleId="Mrltotthiperhivatkozs">
    <w:name w:val="FollowedHyperlink"/>
    <w:basedOn w:val="Bekezdsalapbettpusa"/>
    <w:rPr>
      <w:color w:val="800080"/>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i w:val="0"/>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lfejChar">
    <w:name w:val="Élőfej Char"/>
    <w:basedOn w:val="Bekezdsalapbettpusa"/>
    <w:rPr>
      <w:rFonts w:ascii="Calibri" w:eastAsia="SimSun" w:hAnsi="Calibri" w:cs="Calibri"/>
      <w:lang w:eastAsia="en-US"/>
    </w:rPr>
  </w:style>
  <w:style w:type="character" w:customStyle="1" w:styleId="llbChar">
    <w:name w:val="Élőláb Char"/>
    <w:basedOn w:val="Bekezdsalapbettpusa"/>
    <w:rPr>
      <w:rFonts w:ascii="Calibri" w:eastAsia="SimSun" w:hAnsi="Calibri" w:cs="Calibri"/>
      <w:lang w:eastAsia="en-US"/>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position w:val="0"/>
      <w:sz w:val="24"/>
      <w:szCs w:val="24"/>
      <w:vertAlign w:val="baseline"/>
    </w:rPr>
  </w:style>
  <w:style w:type="character" w:customStyle="1" w:styleId="ListLabel10">
    <w:name w:val="ListLabel 10"/>
    <w:rPr>
      <w:b/>
      <w:u w:val="none"/>
    </w:rPr>
  </w:style>
  <w:style w:type="character" w:customStyle="1" w:styleId="Lbjegyzet-karakterek">
    <w:name w:val="Lábjegyzet-karakterek"/>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istaszerbekezds">
    <w:name w:val="List Paragraph"/>
    <w:basedOn w:val="Norml"/>
    <w:pPr>
      <w:ind w:left="720"/>
      <w:contextualSpacing/>
    </w:pPr>
  </w:style>
  <w:style w:type="paragraph" w:styleId="Lbjegyzetszveg">
    <w:name w:val="footnote text"/>
    <w:basedOn w:val="Norml"/>
    <w:pPr>
      <w:spacing w:after="0" w:line="100" w:lineRule="atLeast"/>
    </w:pPr>
    <w:rPr>
      <w:sz w:val="20"/>
      <w:szCs w:val="20"/>
    </w:rPr>
  </w:style>
  <w:style w:type="paragraph" w:styleId="Buborkszveg">
    <w:name w:val="Balloon Text"/>
    <w:basedOn w:val="Norml"/>
    <w:pPr>
      <w:spacing w:after="0" w:line="100" w:lineRule="atLeast"/>
    </w:pPr>
    <w:rPr>
      <w:rFonts w:ascii="Tahoma" w:hAnsi="Tahoma" w:cs="Tahoma"/>
      <w:sz w:val="16"/>
      <w:szCs w:val="16"/>
    </w:rPr>
  </w:style>
  <w:style w:type="paragraph" w:customStyle="1" w:styleId="Listaszerbekezds1">
    <w:name w:val="Listaszerű bekezdés1"/>
    <w:basedOn w:val="Norml"/>
    <w:pPr>
      <w:ind w:left="720"/>
      <w:contextualSpacing/>
    </w:pPr>
    <w:rPr>
      <w:rFonts w:cs="Times New Roman"/>
    </w:rPr>
  </w:style>
  <w:style w:type="paragraph" w:styleId="Jegyzetszveg">
    <w:name w:val="annotation text"/>
    <w:basedOn w:val="Norml"/>
    <w:pPr>
      <w:spacing w:line="100" w:lineRule="atLeast"/>
    </w:pPr>
    <w:rPr>
      <w:sz w:val="20"/>
      <w:szCs w:val="20"/>
    </w:rPr>
  </w:style>
  <w:style w:type="paragraph" w:styleId="Megjegyzstrgya">
    <w:name w:val="annotation subject"/>
    <w:basedOn w:val="Jegyzetszveg"/>
    <w:rPr>
      <w:b/>
      <w:bCs/>
    </w:rPr>
  </w:style>
  <w:style w:type="paragraph" w:customStyle="1" w:styleId="Lbjegyzet">
    <w:name w:val="Lábjegyzet"/>
    <w:basedOn w:val="Norml"/>
  </w:style>
  <w:style w:type="paragraph" w:styleId="lfej">
    <w:name w:val="header"/>
    <w:basedOn w:val="Norml"/>
    <w:pPr>
      <w:tabs>
        <w:tab w:val="center" w:pos="4536"/>
        <w:tab w:val="right" w:pos="9072"/>
      </w:tabs>
      <w:spacing w:after="0" w:line="100" w:lineRule="atLeast"/>
    </w:pPr>
  </w:style>
  <w:style w:type="paragraph" w:styleId="llb">
    <w:name w:val="footer"/>
    <w:basedOn w:val="Norml"/>
    <w:pPr>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rPr>
      <w:rFonts w:ascii="Calibri" w:eastAsia="SimSun" w:hAnsi="Calibri"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basedOn w:val="Bekezdsalapbettpusa"/>
  </w:style>
  <w:style w:type="character" w:customStyle="1" w:styleId="LbjegyzetszvegChar">
    <w:name w:val="Lábjegyzetszöveg Char"/>
    <w:basedOn w:val="Bekezdsalapbettpusa"/>
    <w:rPr>
      <w:sz w:val="20"/>
      <w:szCs w:val="20"/>
    </w:rPr>
  </w:style>
  <w:style w:type="character" w:styleId="Lbjegyzet-hivatkozs">
    <w:name w:val="footnote reference"/>
    <w:basedOn w:val="Bekezdsalapbettpusa"/>
    <w:rPr>
      <w:vertAlign w:val="superscript"/>
    </w:rPr>
  </w:style>
  <w:style w:type="character" w:customStyle="1" w:styleId="Internet-hivatkozs">
    <w:name w:val="Internet-hivatkozás"/>
    <w:basedOn w:val="Bekezdsalapbettpusa"/>
    <w:rPr>
      <w:color w:val="0000FF"/>
      <w:u w:val="single"/>
    </w:rPr>
  </w:style>
  <w:style w:type="character" w:customStyle="1" w:styleId="BuborkszvegChar">
    <w:name w:val="Buborékszöveg Char"/>
    <w:basedOn w:val="Bekezdsalapbettpusa"/>
    <w:rPr>
      <w:rFonts w:ascii="Tahoma" w:hAnsi="Tahoma" w:cs="Tahoma"/>
      <w:sz w:val="16"/>
      <w:szCs w:val="16"/>
    </w:rPr>
  </w:style>
  <w:style w:type="character" w:styleId="Jegyzethivatkozs">
    <w:name w:val="annotation reference"/>
    <w:basedOn w:val="Bekezdsalapbettpusa"/>
    <w:rPr>
      <w:sz w:val="16"/>
      <w:szCs w:val="16"/>
    </w:rPr>
  </w:style>
  <w:style w:type="character" w:customStyle="1" w:styleId="JegyzetszvegChar">
    <w:name w:val="Jegyzetszöveg Char"/>
    <w:basedOn w:val="Bekezdsalapbettpusa"/>
    <w:rPr>
      <w:sz w:val="20"/>
      <w:szCs w:val="20"/>
    </w:rPr>
  </w:style>
  <w:style w:type="character" w:customStyle="1" w:styleId="MegjegyzstrgyaChar">
    <w:name w:val="Megjegyzés tárgya Char"/>
    <w:basedOn w:val="JegyzetszvegChar"/>
    <w:rPr>
      <w:b/>
      <w:bCs/>
      <w:sz w:val="20"/>
      <w:szCs w:val="20"/>
    </w:rPr>
  </w:style>
  <w:style w:type="character" w:styleId="Mrltotthiperhivatkozs">
    <w:name w:val="FollowedHyperlink"/>
    <w:basedOn w:val="Bekezdsalapbettpusa"/>
    <w:rPr>
      <w:color w:val="800080"/>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i w:val="0"/>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lfejChar">
    <w:name w:val="Élőfej Char"/>
    <w:basedOn w:val="Bekezdsalapbettpusa"/>
    <w:rPr>
      <w:rFonts w:ascii="Calibri" w:eastAsia="SimSun" w:hAnsi="Calibri" w:cs="Calibri"/>
      <w:lang w:eastAsia="en-US"/>
    </w:rPr>
  </w:style>
  <w:style w:type="character" w:customStyle="1" w:styleId="llbChar">
    <w:name w:val="Élőláb Char"/>
    <w:basedOn w:val="Bekezdsalapbettpusa"/>
    <w:rPr>
      <w:rFonts w:ascii="Calibri" w:eastAsia="SimSun" w:hAnsi="Calibri" w:cs="Calibri"/>
      <w:lang w:eastAsia="en-US"/>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position w:val="0"/>
      <w:sz w:val="24"/>
      <w:szCs w:val="24"/>
      <w:vertAlign w:val="baseline"/>
    </w:rPr>
  </w:style>
  <w:style w:type="character" w:customStyle="1" w:styleId="ListLabel10">
    <w:name w:val="ListLabel 10"/>
    <w:rPr>
      <w:b/>
      <w:u w:val="none"/>
    </w:rPr>
  </w:style>
  <w:style w:type="character" w:customStyle="1" w:styleId="Lbjegyzet-karakterek">
    <w:name w:val="Lábjegyzet-karakterek"/>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istaszerbekezds">
    <w:name w:val="List Paragraph"/>
    <w:basedOn w:val="Norml"/>
    <w:pPr>
      <w:ind w:left="720"/>
      <w:contextualSpacing/>
    </w:pPr>
  </w:style>
  <w:style w:type="paragraph" w:styleId="Lbjegyzetszveg">
    <w:name w:val="footnote text"/>
    <w:basedOn w:val="Norml"/>
    <w:pPr>
      <w:spacing w:after="0" w:line="100" w:lineRule="atLeast"/>
    </w:pPr>
    <w:rPr>
      <w:sz w:val="20"/>
      <w:szCs w:val="20"/>
    </w:rPr>
  </w:style>
  <w:style w:type="paragraph" w:styleId="Buborkszveg">
    <w:name w:val="Balloon Text"/>
    <w:basedOn w:val="Norml"/>
    <w:pPr>
      <w:spacing w:after="0" w:line="100" w:lineRule="atLeast"/>
    </w:pPr>
    <w:rPr>
      <w:rFonts w:ascii="Tahoma" w:hAnsi="Tahoma" w:cs="Tahoma"/>
      <w:sz w:val="16"/>
      <w:szCs w:val="16"/>
    </w:rPr>
  </w:style>
  <w:style w:type="paragraph" w:customStyle="1" w:styleId="Listaszerbekezds1">
    <w:name w:val="Listaszerű bekezdés1"/>
    <w:basedOn w:val="Norml"/>
    <w:pPr>
      <w:ind w:left="720"/>
      <w:contextualSpacing/>
    </w:pPr>
    <w:rPr>
      <w:rFonts w:cs="Times New Roman"/>
    </w:rPr>
  </w:style>
  <w:style w:type="paragraph" w:styleId="Jegyzetszveg">
    <w:name w:val="annotation text"/>
    <w:basedOn w:val="Norml"/>
    <w:pPr>
      <w:spacing w:line="100" w:lineRule="atLeast"/>
    </w:pPr>
    <w:rPr>
      <w:sz w:val="20"/>
      <w:szCs w:val="20"/>
    </w:rPr>
  </w:style>
  <w:style w:type="paragraph" w:styleId="Megjegyzstrgya">
    <w:name w:val="annotation subject"/>
    <w:basedOn w:val="Jegyzetszveg"/>
    <w:rPr>
      <w:b/>
      <w:bCs/>
    </w:rPr>
  </w:style>
  <w:style w:type="paragraph" w:customStyle="1" w:styleId="Lbjegyzet">
    <w:name w:val="Lábjegyzet"/>
    <w:basedOn w:val="Norml"/>
  </w:style>
  <w:style w:type="paragraph" w:styleId="lfej">
    <w:name w:val="header"/>
    <w:basedOn w:val="Norml"/>
    <w:pPr>
      <w:tabs>
        <w:tab w:val="center" w:pos="4536"/>
        <w:tab w:val="right" w:pos="9072"/>
      </w:tabs>
      <w:spacing w:after="0" w:line="100" w:lineRule="atLeast"/>
    </w:pPr>
  </w:style>
  <w:style w:type="paragraph" w:styleId="llb">
    <w:name w:val="footer"/>
    <w:basedOn w:val="Norml"/>
    <w:pPr>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reports/risk_assessment_world_bank.pdf" TargetMode="External"/><Relationship Id="rId1" Type="http://schemas.openxmlformats.org/officeDocument/2006/relationships/hyperlink" Target="http://www.fatf-gafi.org/media/fatf/content/images/National_ML_TF_Risk_Assessmen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11588</Characters>
  <Application>Microsoft Office Word</Application>
  <DocSecurity>4</DocSecurity>
  <Lines>96</Lines>
  <Paragraphs>26</Paragraphs>
  <ScaleCrop>false</ScaleCrop>
  <Company>KD</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Horvai Géza</dc:creator>
  <cp:lastModifiedBy>Horvai Géza</cp:lastModifiedBy>
  <cp:revision>2</cp:revision>
  <cp:lastPrinted>2016-02-15T07:53:00Z</cp:lastPrinted>
  <dcterms:created xsi:type="dcterms:W3CDTF">2016-03-01T16:41:00Z</dcterms:created>
  <dcterms:modified xsi:type="dcterms:W3CDTF">2016-03-01T16:41:00Z</dcterms:modified>
</cp:coreProperties>
</file>